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Ind w:w="-142" w:type="dxa"/>
        <w:tblLayout w:type="fixed"/>
        <w:tblLook w:val="04A0" w:firstRow="1" w:lastRow="0" w:firstColumn="1" w:lastColumn="0" w:noHBand="0" w:noVBand="1"/>
      </w:tblPr>
      <w:tblGrid>
        <w:gridCol w:w="4537"/>
        <w:gridCol w:w="510"/>
        <w:gridCol w:w="5126"/>
      </w:tblGrid>
      <w:tr w:rsidR="009405C6">
        <w:tc>
          <w:tcPr>
            <w:tcW w:w="4537" w:type="dxa"/>
          </w:tcPr>
          <w:p w:rsidR="009405C6" w:rsidRDefault="00394060" w:rsidP="000C16D7">
            <w:pPr>
              <w:ind w:left="176"/>
              <w:jc w:val="center"/>
              <w:rPr>
                <w:sz w:val="28"/>
              </w:rPr>
            </w:pPr>
            <w:r>
              <w:rPr>
                <w:noProof/>
                <w:lang w:eastAsia="ru-RU"/>
              </w:rPr>
              <w:drawing>
                <wp:inline distT="0" distB="0" distL="114300" distR="114300">
                  <wp:extent cx="504825" cy="628015"/>
                  <wp:effectExtent l="0" t="0" r="9525" b="6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04825" cy="628015"/>
                          </a:xfrm>
                          <a:prstGeom prst="rect">
                            <a:avLst/>
                          </a:prstGeom>
                          <a:noFill/>
                          <a:ln>
                            <a:noFill/>
                          </a:ln>
                        </pic:spPr>
                      </pic:pic>
                    </a:graphicData>
                  </a:graphic>
                </wp:inline>
              </w:drawing>
            </w:r>
          </w:p>
        </w:tc>
        <w:tc>
          <w:tcPr>
            <w:tcW w:w="510" w:type="dxa"/>
            <w:vMerge w:val="restart"/>
          </w:tcPr>
          <w:p w:rsidR="009405C6" w:rsidRDefault="00C72F18">
            <w:pPr>
              <w:jc w:val="center"/>
              <w:rPr>
                <w:sz w:val="28"/>
              </w:rPr>
            </w:pPr>
            <w:r>
              <w:rPr>
                <w:sz w:val="28"/>
              </w:rPr>
              <w:t xml:space="preserve"> </w:t>
            </w:r>
          </w:p>
        </w:tc>
        <w:tc>
          <w:tcPr>
            <w:tcW w:w="5126" w:type="dxa"/>
          </w:tcPr>
          <w:p w:rsidR="009405C6" w:rsidRDefault="009405C6" w:rsidP="00C72F18">
            <w:pPr>
              <w:rPr>
                <w:sz w:val="28"/>
              </w:rPr>
            </w:pPr>
          </w:p>
        </w:tc>
      </w:tr>
      <w:tr w:rsidR="00C72F18">
        <w:trPr>
          <w:trHeight w:val="2143"/>
        </w:trPr>
        <w:tc>
          <w:tcPr>
            <w:tcW w:w="4537" w:type="dxa"/>
          </w:tcPr>
          <w:p w:rsidR="00C72F18" w:rsidRDefault="00C72F18" w:rsidP="00C72F18">
            <w:pPr>
              <w:pStyle w:val="5"/>
              <w:spacing w:line="240" w:lineRule="exact"/>
              <w:jc w:val="center"/>
              <w:rPr>
                <w:szCs w:val="28"/>
              </w:rPr>
            </w:pPr>
            <w:r>
              <w:rPr>
                <w:szCs w:val="28"/>
              </w:rPr>
              <w:t>Управление по архитектуре,</w:t>
            </w:r>
          </w:p>
          <w:p w:rsidR="00C72F18" w:rsidRDefault="00C72F18" w:rsidP="00C72F18">
            <w:pPr>
              <w:spacing w:after="0" w:line="240" w:lineRule="exact"/>
              <w:jc w:val="center"/>
              <w:rPr>
                <w:b/>
                <w:sz w:val="28"/>
              </w:rPr>
            </w:pPr>
            <w:r>
              <w:rPr>
                <w:b/>
                <w:sz w:val="28"/>
              </w:rPr>
              <w:t>градостроительству и</w:t>
            </w:r>
          </w:p>
          <w:p w:rsidR="00C72F18" w:rsidRDefault="00C72F18" w:rsidP="00C72F18">
            <w:pPr>
              <w:spacing w:after="0" w:line="240" w:lineRule="exact"/>
              <w:jc w:val="center"/>
              <w:rPr>
                <w:b/>
                <w:sz w:val="28"/>
              </w:rPr>
            </w:pPr>
            <w:r>
              <w:rPr>
                <w:b/>
                <w:sz w:val="28"/>
              </w:rPr>
              <w:t>имущественным отношениям</w:t>
            </w:r>
          </w:p>
          <w:p w:rsidR="00C72F18" w:rsidRDefault="00C72F18" w:rsidP="00C72F18">
            <w:pPr>
              <w:spacing w:after="0" w:line="240" w:lineRule="exact"/>
              <w:jc w:val="center"/>
              <w:rPr>
                <w:b/>
                <w:sz w:val="28"/>
              </w:rPr>
            </w:pPr>
            <w:r>
              <w:rPr>
                <w:b/>
                <w:sz w:val="28"/>
              </w:rPr>
              <w:t>администрации города-курорта</w:t>
            </w:r>
          </w:p>
          <w:p w:rsidR="00C72F18" w:rsidRDefault="00C72F18" w:rsidP="00C72F18">
            <w:pPr>
              <w:spacing w:after="0" w:line="240" w:lineRule="exact"/>
              <w:jc w:val="center"/>
              <w:rPr>
                <w:b/>
                <w:sz w:val="28"/>
              </w:rPr>
            </w:pPr>
            <w:r>
              <w:rPr>
                <w:b/>
                <w:sz w:val="28"/>
              </w:rPr>
              <w:t>Кисловодска</w:t>
            </w:r>
          </w:p>
          <w:p w:rsidR="00C72F18" w:rsidRDefault="00C72F18" w:rsidP="00C72F18">
            <w:pPr>
              <w:spacing w:after="0" w:line="240" w:lineRule="exact"/>
              <w:jc w:val="center"/>
              <w:rPr>
                <w:b/>
                <w:sz w:val="28"/>
              </w:rPr>
            </w:pPr>
            <w:r>
              <w:rPr>
                <w:b/>
                <w:sz w:val="28"/>
              </w:rPr>
              <w:t>Ставропольского края</w:t>
            </w:r>
          </w:p>
          <w:p w:rsidR="00C72F18" w:rsidRDefault="00C72F18" w:rsidP="00C72F18">
            <w:pPr>
              <w:spacing w:after="0" w:line="240" w:lineRule="exact"/>
              <w:jc w:val="center"/>
              <w:rPr>
                <w:sz w:val="18"/>
                <w:szCs w:val="18"/>
              </w:rPr>
            </w:pPr>
            <w:r>
              <w:rPr>
                <w:sz w:val="18"/>
                <w:szCs w:val="18"/>
              </w:rPr>
              <w:t>пр. Победы, 25, город-курорт Кисловодск, 357700</w:t>
            </w:r>
          </w:p>
          <w:p w:rsidR="00C72F18" w:rsidRDefault="00C72F18" w:rsidP="00C72F18">
            <w:pPr>
              <w:spacing w:after="0" w:line="240" w:lineRule="exact"/>
              <w:jc w:val="center"/>
              <w:rPr>
                <w:sz w:val="18"/>
                <w:szCs w:val="18"/>
              </w:rPr>
            </w:pPr>
            <w:r>
              <w:rPr>
                <w:sz w:val="18"/>
                <w:szCs w:val="18"/>
              </w:rPr>
              <w:t>тел. (887937) 2-01-24, (887937) 2-22-72</w:t>
            </w:r>
          </w:p>
          <w:p w:rsidR="00C72F18" w:rsidRPr="00D84C78" w:rsidRDefault="00C72F18" w:rsidP="00C72F18">
            <w:pPr>
              <w:pStyle w:val="Standard"/>
              <w:spacing w:line="240" w:lineRule="exact"/>
              <w:jc w:val="center"/>
            </w:pPr>
            <w:r>
              <w:rPr>
                <w:sz w:val="18"/>
                <w:szCs w:val="18"/>
              </w:rPr>
              <w:t>Е</w:t>
            </w:r>
            <w:r w:rsidRPr="00D84C78">
              <w:rPr>
                <w:sz w:val="18"/>
                <w:szCs w:val="18"/>
              </w:rPr>
              <w:t>-</w:t>
            </w:r>
            <w:r w:rsidRPr="00AC6456">
              <w:rPr>
                <w:sz w:val="18"/>
                <w:szCs w:val="18"/>
                <w:lang w:val="en-US"/>
              </w:rPr>
              <w:t>mail</w:t>
            </w:r>
            <w:r w:rsidRPr="00D84C78">
              <w:rPr>
                <w:sz w:val="18"/>
                <w:szCs w:val="18"/>
              </w:rPr>
              <w:t xml:space="preserve">: </w:t>
            </w:r>
            <w:proofErr w:type="spellStart"/>
            <w:r>
              <w:rPr>
                <w:sz w:val="18"/>
                <w:szCs w:val="18"/>
                <w:lang w:val="en-US"/>
              </w:rPr>
              <w:t>uagio</w:t>
            </w:r>
            <w:proofErr w:type="spellEnd"/>
            <w:r w:rsidRPr="00D84C78">
              <w:rPr>
                <w:sz w:val="18"/>
                <w:szCs w:val="18"/>
              </w:rPr>
              <w:t>@</w:t>
            </w:r>
            <w:proofErr w:type="spellStart"/>
            <w:r>
              <w:rPr>
                <w:sz w:val="18"/>
                <w:szCs w:val="18"/>
                <w:lang w:val="en-US"/>
              </w:rPr>
              <w:t>kislovodsk</w:t>
            </w:r>
            <w:proofErr w:type="spellEnd"/>
            <w:r w:rsidRPr="00D84C78">
              <w:rPr>
                <w:sz w:val="18"/>
                <w:szCs w:val="18"/>
              </w:rPr>
              <w:t>-</w:t>
            </w:r>
            <w:proofErr w:type="spellStart"/>
            <w:r>
              <w:rPr>
                <w:sz w:val="18"/>
                <w:szCs w:val="18"/>
                <w:lang w:val="en-US"/>
              </w:rPr>
              <w:t>kurort</w:t>
            </w:r>
            <w:proofErr w:type="spellEnd"/>
            <w:r w:rsidRPr="00D84C78">
              <w:rPr>
                <w:sz w:val="18"/>
                <w:szCs w:val="18"/>
              </w:rPr>
              <w:t>.</w:t>
            </w:r>
            <w:r>
              <w:rPr>
                <w:sz w:val="18"/>
                <w:szCs w:val="18"/>
                <w:lang w:val="en-US"/>
              </w:rPr>
              <w:t>org</w:t>
            </w:r>
          </w:p>
          <w:p w:rsidR="00C72F18" w:rsidRDefault="00C72F18" w:rsidP="00C72F18">
            <w:pPr>
              <w:spacing w:after="0" w:line="240" w:lineRule="exact"/>
              <w:ind w:left="-108"/>
              <w:jc w:val="center"/>
              <w:rPr>
                <w:sz w:val="18"/>
                <w:szCs w:val="18"/>
              </w:rPr>
            </w:pPr>
            <w:r>
              <w:rPr>
                <w:sz w:val="18"/>
                <w:lang w:eastAsia="ar-SA"/>
              </w:rPr>
              <w:t xml:space="preserve"> ИНН/КПП 2628062620/262801001 ОГРН 1242600006362</w:t>
            </w:r>
          </w:p>
        </w:tc>
        <w:tc>
          <w:tcPr>
            <w:tcW w:w="510" w:type="dxa"/>
            <w:vMerge/>
          </w:tcPr>
          <w:p w:rsidR="00C72F18" w:rsidRDefault="00C72F18" w:rsidP="00C72F18">
            <w:pPr>
              <w:spacing w:line="240" w:lineRule="exact"/>
              <w:jc w:val="center"/>
              <w:rPr>
                <w:sz w:val="28"/>
              </w:rPr>
            </w:pPr>
          </w:p>
        </w:tc>
        <w:tc>
          <w:tcPr>
            <w:tcW w:w="5126" w:type="dxa"/>
          </w:tcPr>
          <w:p w:rsidR="000E282E" w:rsidRPr="000E282E" w:rsidRDefault="000E282E" w:rsidP="000E282E">
            <w:pPr>
              <w:suppressAutoHyphens/>
              <w:overflowPunct w:val="0"/>
              <w:autoSpaceDE w:val="0"/>
              <w:spacing w:after="0" w:line="240" w:lineRule="auto"/>
              <w:jc w:val="right"/>
              <w:textAlignment w:val="baseline"/>
              <w:rPr>
                <w:rFonts w:eastAsia="Times New Roman"/>
                <w:sz w:val="28"/>
                <w:lang w:eastAsia="ar-SA"/>
              </w:rPr>
            </w:pPr>
            <w:r w:rsidRPr="000E282E">
              <w:rPr>
                <w:rFonts w:eastAsia="Times New Roman"/>
                <w:sz w:val="28"/>
                <w:lang w:eastAsia="ar-SA"/>
              </w:rPr>
              <w:t xml:space="preserve">Председателю Думы </w:t>
            </w:r>
          </w:p>
          <w:p w:rsidR="000E282E" w:rsidRPr="000E282E" w:rsidRDefault="000E282E" w:rsidP="000E282E">
            <w:pPr>
              <w:suppressAutoHyphens/>
              <w:overflowPunct w:val="0"/>
              <w:autoSpaceDE w:val="0"/>
              <w:spacing w:after="0" w:line="240" w:lineRule="auto"/>
              <w:jc w:val="right"/>
              <w:textAlignment w:val="baseline"/>
              <w:rPr>
                <w:rFonts w:eastAsia="Times New Roman"/>
                <w:sz w:val="28"/>
                <w:lang w:eastAsia="ar-SA"/>
              </w:rPr>
            </w:pPr>
            <w:r w:rsidRPr="000E282E">
              <w:rPr>
                <w:rFonts w:eastAsia="Times New Roman"/>
                <w:sz w:val="28"/>
                <w:lang w:eastAsia="ar-SA"/>
              </w:rPr>
              <w:t>города-курорта Кисловодска</w:t>
            </w:r>
          </w:p>
          <w:p w:rsidR="000E282E" w:rsidRPr="000E282E" w:rsidRDefault="000E282E" w:rsidP="000E282E">
            <w:pPr>
              <w:suppressAutoHyphens/>
              <w:overflowPunct w:val="0"/>
              <w:autoSpaceDE w:val="0"/>
              <w:spacing w:after="0" w:line="240" w:lineRule="auto"/>
              <w:jc w:val="right"/>
              <w:textAlignment w:val="baseline"/>
              <w:rPr>
                <w:rFonts w:eastAsia="Times New Roman"/>
                <w:sz w:val="28"/>
                <w:lang w:eastAsia="ar-SA"/>
              </w:rPr>
            </w:pPr>
          </w:p>
          <w:p w:rsidR="00C72F18" w:rsidRPr="004F591B" w:rsidRDefault="000E282E" w:rsidP="000E282E">
            <w:pPr>
              <w:suppressAutoHyphens/>
              <w:overflowPunct w:val="0"/>
              <w:autoSpaceDE w:val="0"/>
              <w:spacing w:after="0" w:line="240" w:lineRule="auto"/>
              <w:ind w:left="-85"/>
              <w:jc w:val="right"/>
              <w:textAlignment w:val="baseline"/>
              <w:rPr>
                <w:rFonts w:eastAsia="Times New Roman"/>
                <w:sz w:val="26"/>
                <w:szCs w:val="26"/>
                <w:lang w:eastAsia="ar-SA"/>
              </w:rPr>
            </w:pPr>
            <w:r w:rsidRPr="000E282E">
              <w:rPr>
                <w:rFonts w:eastAsia="Times New Roman"/>
                <w:sz w:val="28"/>
                <w:lang w:eastAsia="ar-SA"/>
              </w:rPr>
              <w:t>Л.Н. Волошиной</w:t>
            </w:r>
          </w:p>
        </w:tc>
      </w:tr>
      <w:tr w:rsidR="00C72F18" w:rsidTr="00C72F18">
        <w:trPr>
          <w:trHeight w:val="75"/>
        </w:trPr>
        <w:tc>
          <w:tcPr>
            <w:tcW w:w="4537" w:type="dxa"/>
            <w:tcBorders>
              <w:bottom w:val="single" w:sz="4" w:space="0" w:color="auto"/>
            </w:tcBorders>
            <w:vAlign w:val="bottom"/>
          </w:tcPr>
          <w:p w:rsidR="00C72F18" w:rsidRDefault="00D906BA" w:rsidP="0026327C">
            <w:pPr>
              <w:spacing w:after="0" w:line="240" w:lineRule="exact"/>
              <w:jc w:val="center"/>
              <w:rPr>
                <w:szCs w:val="24"/>
              </w:rPr>
            </w:pPr>
            <w:r>
              <w:rPr>
                <w:szCs w:val="24"/>
              </w:rPr>
              <w:t xml:space="preserve">  </w:t>
            </w:r>
            <w:r w:rsidR="00C72F18">
              <w:rPr>
                <w:szCs w:val="24"/>
              </w:rPr>
              <w:t>№</w:t>
            </w:r>
          </w:p>
        </w:tc>
        <w:tc>
          <w:tcPr>
            <w:tcW w:w="510" w:type="dxa"/>
            <w:vMerge/>
          </w:tcPr>
          <w:p w:rsidR="00C72F18" w:rsidRDefault="00C72F18" w:rsidP="00C72F18">
            <w:pPr>
              <w:spacing w:after="0" w:line="240" w:lineRule="exact"/>
              <w:jc w:val="center"/>
              <w:rPr>
                <w:sz w:val="18"/>
                <w:szCs w:val="18"/>
              </w:rPr>
            </w:pPr>
          </w:p>
        </w:tc>
        <w:tc>
          <w:tcPr>
            <w:tcW w:w="5126" w:type="dxa"/>
          </w:tcPr>
          <w:p w:rsidR="00C72F18" w:rsidRPr="004F591B" w:rsidRDefault="00C72F18" w:rsidP="00C72F18">
            <w:pPr>
              <w:suppressAutoHyphens/>
              <w:overflowPunct w:val="0"/>
              <w:autoSpaceDE w:val="0"/>
              <w:spacing w:after="0" w:line="240" w:lineRule="auto"/>
              <w:textAlignment w:val="baseline"/>
              <w:rPr>
                <w:rFonts w:eastAsia="Times New Roman"/>
                <w:sz w:val="26"/>
                <w:szCs w:val="26"/>
                <w:lang w:eastAsia="ar-SA"/>
              </w:rPr>
            </w:pPr>
          </w:p>
        </w:tc>
      </w:tr>
      <w:tr w:rsidR="0059498C" w:rsidTr="00C72F18">
        <w:trPr>
          <w:trHeight w:val="65"/>
        </w:trPr>
        <w:tc>
          <w:tcPr>
            <w:tcW w:w="4537" w:type="dxa"/>
            <w:tcBorders>
              <w:top w:val="single" w:sz="4" w:space="0" w:color="auto"/>
              <w:bottom w:val="single" w:sz="4" w:space="0" w:color="auto"/>
            </w:tcBorders>
            <w:vAlign w:val="bottom"/>
          </w:tcPr>
          <w:p w:rsidR="0059498C" w:rsidRDefault="0026327C" w:rsidP="000E282E">
            <w:pPr>
              <w:spacing w:after="0" w:line="240" w:lineRule="exact"/>
              <w:rPr>
                <w:szCs w:val="24"/>
              </w:rPr>
            </w:pPr>
            <w:r>
              <w:rPr>
                <w:szCs w:val="24"/>
              </w:rPr>
              <w:t xml:space="preserve">  </w:t>
            </w:r>
            <w:r w:rsidR="0059498C">
              <w:rPr>
                <w:szCs w:val="24"/>
              </w:rPr>
              <w:t xml:space="preserve">На № </w:t>
            </w:r>
            <w:r w:rsidR="000E282E">
              <w:rPr>
                <w:szCs w:val="24"/>
              </w:rPr>
              <w:t xml:space="preserve">                     </w:t>
            </w:r>
            <w:r w:rsidR="0059498C">
              <w:rPr>
                <w:szCs w:val="24"/>
              </w:rPr>
              <w:t xml:space="preserve">  от    </w:t>
            </w:r>
          </w:p>
        </w:tc>
        <w:tc>
          <w:tcPr>
            <w:tcW w:w="510" w:type="dxa"/>
            <w:vMerge/>
          </w:tcPr>
          <w:p w:rsidR="0059498C" w:rsidRDefault="0059498C" w:rsidP="0059498C">
            <w:pPr>
              <w:spacing w:after="0" w:line="240" w:lineRule="exact"/>
              <w:jc w:val="center"/>
              <w:rPr>
                <w:sz w:val="18"/>
                <w:szCs w:val="18"/>
              </w:rPr>
            </w:pPr>
          </w:p>
        </w:tc>
        <w:tc>
          <w:tcPr>
            <w:tcW w:w="5126" w:type="dxa"/>
          </w:tcPr>
          <w:p w:rsidR="0059498C" w:rsidRDefault="0059498C" w:rsidP="0059498C">
            <w:pPr>
              <w:spacing w:after="0" w:line="240" w:lineRule="exact"/>
              <w:ind w:left="765"/>
              <w:jc w:val="center"/>
              <w:rPr>
                <w:sz w:val="18"/>
                <w:szCs w:val="18"/>
              </w:rPr>
            </w:pPr>
          </w:p>
        </w:tc>
      </w:tr>
    </w:tbl>
    <w:p w:rsidR="0059498C" w:rsidRDefault="0059498C" w:rsidP="00454F50">
      <w:pPr>
        <w:spacing w:after="0" w:line="240" w:lineRule="auto"/>
        <w:rPr>
          <w:spacing w:val="-6"/>
          <w:sz w:val="28"/>
        </w:rPr>
      </w:pPr>
    </w:p>
    <w:p w:rsidR="000E282E" w:rsidRPr="00C87DCC" w:rsidRDefault="000E282E" w:rsidP="000E282E">
      <w:pPr>
        <w:widowControl w:val="0"/>
        <w:suppressAutoHyphens/>
        <w:autoSpaceDN w:val="0"/>
        <w:spacing w:after="0" w:line="240" w:lineRule="auto"/>
        <w:ind w:right="-59"/>
        <w:jc w:val="center"/>
        <w:textAlignment w:val="baseline"/>
        <w:rPr>
          <w:rFonts w:eastAsia="Times New Roman"/>
          <w:sz w:val="27"/>
          <w:szCs w:val="27"/>
          <w:lang w:eastAsia="ru-RU"/>
        </w:rPr>
      </w:pPr>
      <w:r w:rsidRPr="00C87DCC">
        <w:rPr>
          <w:rFonts w:eastAsia="Times New Roman"/>
          <w:sz w:val="27"/>
          <w:szCs w:val="27"/>
          <w:lang w:eastAsia="ru-RU"/>
        </w:rPr>
        <w:t>ПОЯСНИТЕЛЬНАЯ ЗАПИСКА</w:t>
      </w:r>
    </w:p>
    <w:p w:rsidR="000E282E" w:rsidRPr="00C87DCC" w:rsidRDefault="000E282E" w:rsidP="00B57BD3">
      <w:pPr>
        <w:widowControl w:val="0"/>
        <w:suppressAutoHyphens/>
        <w:autoSpaceDN w:val="0"/>
        <w:spacing w:after="0" w:line="240" w:lineRule="auto"/>
        <w:ind w:left="284" w:right="-59"/>
        <w:jc w:val="center"/>
        <w:textAlignment w:val="baseline"/>
        <w:rPr>
          <w:rFonts w:eastAsia="Times New Roman"/>
          <w:sz w:val="27"/>
          <w:szCs w:val="27"/>
          <w:lang w:eastAsia="ru-RU"/>
        </w:rPr>
      </w:pPr>
      <w:r w:rsidRPr="00C87DCC">
        <w:rPr>
          <w:rFonts w:eastAsia="Times New Roman"/>
          <w:sz w:val="27"/>
          <w:szCs w:val="27"/>
          <w:lang w:eastAsia="ru-RU"/>
        </w:rPr>
        <w:t>по проекту</w:t>
      </w:r>
      <w:r w:rsidR="00471E07" w:rsidRPr="00C87DCC">
        <w:rPr>
          <w:rFonts w:eastAsia="Times New Roman"/>
          <w:sz w:val="27"/>
          <w:szCs w:val="27"/>
          <w:lang w:eastAsia="ru-RU"/>
        </w:rPr>
        <w:t xml:space="preserve"> решения</w:t>
      </w:r>
      <w:r w:rsidRPr="00C87DCC">
        <w:rPr>
          <w:rFonts w:eastAsia="Times New Roman"/>
          <w:sz w:val="27"/>
          <w:szCs w:val="27"/>
          <w:lang w:eastAsia="ru-RU"/>
        </w:rPr>
        <w:t xml:space="preserve"> внесения изменений в генеральный план городского округа города-курорта Кисловодска Ставропольского края</w:t>
      </w:r>
    </w:p>
    <w:p w:rsidR="000E282E" w:rsidRPr="00C87DCC" w:rsidRDefault="000E282E" w:rsidP="00B57BD3">
      <w:pPr>
        <w:widowControl w:val="0"/>
        <w:suppressAutoHyphens/>
        <w:autoSpaceDN w:val="0"/>
        <w:spacing w:after="0" w:line="240" w:lineRule="auto"/>
        <w:ind w:left="284" w:right="-59"/>
        <w:jc w:val="center"/>
        <w:textAlignment w:val="baseline"/>
        <w:rPr>
          <w:rFonts w:eastAsia="Times New Roman"/>
          <w:sz w:val="27"/>
          <w:szCs w:val="27"/>
          <w:lang w:eastAsia="ru-RU"/>
        </w:rPr>
      </w:pPr>
    </w:p>
    <w:p w:rsidR="000E282E" w:rsidRPr="00C87DCC" w:rsidRDefault="000E282E" w:rsidP="00B57BD3">
      <w:pPr>
        <w:widowControl w:val="0"/>
        <w:suppressAutoHyphens/>
        <w:autoSpaceDN w:val="0"/>
        <w:spacing w:after="0" w:line="240" w:lineRule="auto"/>
        <w:ind w:left="284" w:right="-59"/>
        <w:jc w:val="center"/>
        <w:textAlignment w:val="baseline"/>
        <w:rPr>
          <w:rFonts w:eastAsia="Times New Roman"/>
          <w:sz w:val="27"/>
          <w:szCs w:val="27"/>
          <w:lang w:eastAsia="ru-RU"/>
        </w:rPr>
      </w:pPr>
      <w:r w:rsidRPr="00C87DCC">
        <w:rPr>
          <w:rFonts w:eastAsia="Times New Roman"/>
          <w:sz w:val="27"/>
          <w:szCs w:val="27"/>
          <w:lang w:eastAsia="ru-RU"/>
        </w:rPr>
        <w:t>Уважаемая Любовь Николаевна!</w:t>
      </w:r>
    </w:p>
    <w:p w:rsidR="000E282E" w:rsidRPr="00C87DCC" w:rsidRDefault="000E282E" w:rsidP="00B57BD3">
      <w:pPr>
        <w:widowControl w:val="0"/>
        <w:suppressAutoHyphens/>
        <w:autoSpaceDN w:val="0"/>
        <w:spacing w:after="0" w:line="240" w:lineRule="auto"/>
        <w:ind w:left="284" w:right="-59"/>
        <w:textAlignment w:val="baseline"/>
        <w:rPr>
          <w:rFonts w:eastAsia="Lucida Sans Unicode" w:cs="Mangal"/>
          <w:kern w:val="3"/>
          <w:sz w:val="27"/>
          <w:szCs w:val="27"/>
          <w:lang w:eastAsia="zh-CN" w:bidi="hi-IN"/>
        </w:rPr>
      </w:pPr>
    </w:p>
    <w:p w:rsidR="00A908A7" w:rsidRPr="00C87DCC" w:rsidRDefault="00A908A7" w:rsidP="00B57BD3">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 xml:space="preserve">В рамках реализации Распоряжения Правительства РФ от 11.09.2021 </w:t>
      </w:r>
      <w:r w:rsidR="004E2322" w:rsidRPr="00C87DCC">
        <w:rPr>
          <w:rFonts w:eastAsia="Times New Roman"/>
          <w:sz w:val="27"/>
          <w:szCs w:val="27"/>
          <w:lang w:eastAsia="ru-RU"/>
        </w:rPr>
        <w:t xml:space="preserve">                      </w:t>
      </w:r>
      <w:r w:rsidRPr="00C87DCC">
        <w:rPr>
          <w:rFonts w:eastAsia="Times New Roman"/>
          <w:sz w:val="27"/>
          <w:szCs w:val="27"/>
          <w:lang w:eastAsia="ru-RU"/>
        </w:rPr>
        <w:t>№ 2540-р «Об утверждении перечня мероприятий по комплексному развитию городов-курортов региона Кавказские Минеральные Воды до 2030 года» и Распоряжения Правительства Ставропол</w:t>
      </w:r>
      <w:r w:rsidR="00C87DCC">
        <w:rPr>
          <w:rFonts w:eastAsia="Times New Roman"/>
          <w:sz w:val="27"/>
          <w:szCs w:val="27"/>
          <w:lang w:eastAsia="ru-RU"/>
        </w:rPr>
        <w:t xml:space="preserve">ьского края от 15 июля 2021 г. </w:t>
      </w:r>
      <w:r w:rsidRPr="00C87DCC">
        <w:rPr>
          <w:rFonts w:eastAsia="Times New Roman"/>
          <w:sz w:val="27"/>
          <w:szCs w:val="27"/>
          <w:lang w:eastAsia="ru-RU"/>
        </w:rPr>
        <w:t xml:space="preserve">№ 258-рп </w:t>
      </w:r>
      <w:r w:rsidR="004E2322" w:rsidRPr="00C87DCC">
        <w:rPr>
          <w:rFonts w:eastAsia="Times New Roman"/>
          <w:sz w:val="27"/>
          <w:szCs w:val="27"/>
          <w:lang w:eastAsia="ru-RU"/>
        </w:rPr>
        <w:t>«</w:t>
      </w:r>
      <w:r w:rsidRPr="00C87DCC">
        <w:rPr>
          <w:rFonts w:eastAsia="Times New Roman"/>
          <w:sz w:val="27"/>
          <w:szCs w:val="27"/>
          <w:lang w:eastAsia="ru-RU"/>
        </w:rPr>
        <w:t>Об утверждении Плана мероприятий по реализации Стратегии социально-экономического развития города-курорта Кисловодска до 2035 года», подготовлен п</w:t>
      </w:r>
      <w:r w:rsidR="000E282E" w:rsidRPr="00C87DCC">
        <w:rPr>
          <w:rFonts w:eastAsia="Times New Roman"/>
          <w:sz w:val="27"/>
          <w:szCs w:val="27"/>
          <w:lang w:eastAsia="ru-RU"/>
        </w:rPr>
        <w:t xml:space="preserve">роект </w:t>
      </w:r>
      <w:r w:rsidR="00471E07" w:rsidRPr="00C87DCC">
        <w:rPr>
          <w:rFonts w:eastAsia="Times New Roman"/>
          <w:sz w:val="27"/>
          <w:szCs w:val="27"/>
          <w:lang w:eastAsia="ru-RU"/>
        </w:rPr>
        <w:t xml:space="preserve">решения </w:t>
      </w:r>
      <w:r w:rsidR="000E282E" w:rsidRPr="00C87DCC">
        <w:rPr>
          <w:rFonts w:eastAsia="Times New Roman"/>
          <w:sz w:val="27"/>
          <w:szCs w:val="27"/>
          <w:lang w:eastAsia="ru-RU"/>
        </w:rPr>
        <w:t>внесения изменений в генеральный план</w:t>
      </w:r>
      <w:r w:rsidRPr="00C87DCC">
        <w:rPr>
          <w:sz w:val="27"/>
          <w:szCs w:val="27"/>
        </w:rPr>
        <w:t xml:space="preserve"> </w:t>
      </w:r>
      <w:r w:rsidRPr="00C87DCC">
        <w:rPr>
          <w:rFonts w:eastAsia="Times New Roman"/>
          <w:sz w:val="27"/>
          <w:szCs w:val="27"/>
          <w:lang w:eastAsia="ru-RU"/>
        </w:rPr>
        <w:t xml:space="preserve">городского округа города-курорта Кисловодска Ставропольского края, который </w:t>
      </w:r>
      <w:r w:rsidR="000E282E" w:rsidRPr="00C87DCC">
        <w:rPr>
          <w:rFonts w:eastAsia="Times New Roman"/>
          <w:sz w:val="27"/>
          <w:szCs w:val="27"/>
          <w:lang w:eastAsia="ru-RU"/>
        </w:rPr>
        <w:t>предусматривает</w:t>
      </w:r>
      <w:r w:rsidR="00913853" w:rsidRPr="00C87DCC">
        <w:rPr>
          <w:rFonts w:eastAsia="Times New Roman"/>
          <w:sz w:val="27"/>
          <w:szCs w:val="27"/>
          <w:lang w:eastAsia="ru-RU"/>
        </w:rPr>
        <w:t>:</w:t>
      </w:r>
    </w:p>
    <w:p w:rsidR="00A908A7" w:rsidRPr="00C87DCC" w:rsidRDefault="00A908A7" w:rsidP="00B57BD3">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w:t>
      </w:r>
      <w:r w:rsidR="000E282E" w:rsidRPr="00C87DCC">
        <w:rPr>
          <w:rFonts w:eastAsia="Times New Roman"/>
          <w:sz w:val="27"/>
          <w:szCs w:val="27"/>
          <w:lang w:eastAsia="ru-RU"/>
        </w:rPr>
        <w:t xml:space="preserve">  </w:t>
      </w:r>
      <w:r w:rsidR="00A50B6C" w:rsidRPr="00C87DCC">
        <w:rPr>
          <w:rFonts w:eastAsia="Times New Roman"/>
          <w:sz w:val="27"/>
          <w:szCs w:val="27"/>
          <w:lang w:eastAsia="ru-RU"/>
        </w:rPr>
        <w:t>установлени</w:t>
      </w:r>
      <w:r w:rsidRPr="00C87DCC">
        <w:rPr>
          <w:rFonts w:eastAsia="Times New Roman"/>
          <w:sz w:val="27"/>
          <w:szCs w:val="27"/>
          <w:lang w:eastAsia="ru-RU"/>
        </w:rPr>
        <w:t>е</w:t>
      </w:r>
      <w:r w:rsidR="00A50B6C" w:rsidRPr="00C87DCC">
        <w:rPr>
          <w:rFonts w:eastAsia="Times New Roman"/>
          <w:sz w:val="27"/>
          <w:szCs w:val="27"/>
          <w:lang w:eastAsia="ru-RU"/>
        </w:rPr>
        <w:t xml:space="preserve"> соответствия функциональных зон в границах населенного пункта города Кисловодска, городского округа города-курорта Кисловодска, с учетом фактически сложившейся застройки, и перспективных неосвоенных территорий</w:t>
      </w:r>
      <w:r w:rsidRPr="00C87DCC">
        <w:rPr>
          <w:rFonts w:eastAsia="Times New Roman"/>
          <w:sz w:val="27"/>
          <w:szCs w:val="27"/>
          <w:lang w:eastAsia="ru-RU"/>
        </w:rPr>
        <w:t>;</w:t>
      </w:r>
    </w:p>
    <w:p w:rsidR="000E282E" w:rsidRPr="00C87DCC" w:rsidRDefault="00A908A7" w:rsidP="00B57BD3">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w:t>
      </w:r>
      <w:r w:rsidR="00A50B6C" w:rsidRPr="00C87DCC">
        <w:rPr>
          <w:rFonts w:eastAsia="Times New Roman"/>
          <w:sz w:val="27"/>
          <w:szCs w:val="27"/>
          <w:lang w:eastAsia="ru-RU"/>
        </w:rPr>
        <w:t xml:space="preserve"> </w:t>
      </w:r>
      <w:r w:rsidRPr="00C87DCC">
        <w:rPr>
          <w:rFonts w:eastAsia="Times New Roman"/>
          <w:sz w:val="27"/>
          <w:szCs w:val="27"/>
          <w:lang w:eastAsia="ru-RU"/>
        </w:rPr>
        <w:t xml:space="preserve">установление </w:t>
      </w:r>
      <w:r w:rsidR="00A50B6C" w:rsidRPr="00C87DCC">
        <w:rPr>
          <w:rFonts w:eastAsia="Times New Roman"/>
          <w:sz w:val="27"/>
          <w:szCs w:val="27"/>
          <w:lang w:eastAsia="ru-RU"/>
        </w:rPr>
        <w:t>функциональны</w:t>
      </w:r>
      <w:r w:rsidRPr="00C87DCC">
        <w:rPr>
          <w:rFonts w:eastAsia="Times New Roman"/>
          <w:sz w:val="27"/>
          <w:szCs w:val="27"/>
          <w:lang w:eastAsia="ru-RU"/>
        </w:rPr>
        <w:t>х</w:t>
      </w:r>
      <w:r w:rsidR="00A50B6C" w:rsidRPr="00C87DCC">
        <w:rPr>
          <w:rFonts w:eastAsia="Times New Roman"/>
          <w:sz w:val="27"/>
          <w:szCs w:val="27"/>
          <w:lang w:eastAsia="ru-RU"/>
        </w:rPr>
        <w:t xml:space="preserve"> зон транспортной инфраструктуры, жилой многоквартирной застройки и общественно деловой зоны</w:t>
      </w:r>
      <w:r w:rsidR="004F7A2C">
        <w:rPr>
          <w:rFonts w:eastAsia="Times New Roman"/>
          <w:sz w:val="27"/>
          <w:szCs w:val="27"/>
          <w:lang w:eastAsia="ru-RU"/>
        </w:rPr>
        <w:t>.</w:t>
      </w:r>
    </w:p>
    <w:p w:rsidR="00B57BD3" w:rsidRPr="00C87DCC" w:rsidRDefault="000E282E" w:rsidP="00C87DCC">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 xml:space="preserve">Проект </w:t>
      </w:r>
      <w:r w:rsidR="00471E07" w:rsidRPr="00C87DCC">
        <w:rPr>
          <w:rFonts w:eastAsia="Times New Roman"/>
          <w:sz w:val="27"/>
          <w:szCs w:val="27"/>
          <w:lang w:eastAsia="ru-RU"/>
        </w:rPr>
        <w:t xml:space="preserve">решения </w:t>
      </w:r>
      <w:r w:rsidRPr="00C87DCC">
        <w:rPr>
          <w:rFonts w:eastAsia="Times New Roman"/>
          <w:sz w:val="27"/>
          <w:szCs w:val="27"/>
          <w:lang w:eastAsia="ru-RU"/>
        </w:rPr>
        <w:t xml:space="preserve">внесения изменений в генеральный план городского округа города-курорта Кисловодска, в соответствии с требованиями действующего законодательства, был размещен в Федеральной государственной информационной системе территориального планирования для согласования с уполномоченным органом исполнительной власти Российской Федерации Министерством экономического развития РФ и направлен на согласование в Правительство Ставропольского края. </w:t>
      </w:r>
    </w:p>
    <w:p w:rsidR="00CB7A6B" w:rsidRPr="00C87DCC" w:rsidRDefault="00CB7A6B" w:rsidP="00CB7A6B">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 xml:space="preserve">Министерством экономического развития РФ направлено сводное заключение о согласии с проектом внесения изменений в генеральный план городского округа города-курорта Кисловодска Ставропольского края (письмо от 18.05.2026 № 07715000-1сз/исх-59851). </w:t>
      </w:r>
    </w:p>
    <w:p w:rsidR="00CB7A6B" w:rsidRDefault="00CB7A6B" w:rsidP="00C87DCC">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Правительством Ставропольского края выдано сводное заключение о согласовании</w:t>
      </w:r>
      <w:r w:rsidR="00C87DCC" w:rsidRPr="00C87DCC">
        <w:rPr>
          <w:rFonts w:eastAsia="Times New Roman"/>
          <w:sz w:val="27"/>
          <w:szCs w:val="27"/>
          <w:lang w:eastAsia="ru-RU"/>
        </w:rPr>
        <w:t xml:space="preserve"> проекта документа территориального планирования</w:t>
      </w:r>
      <w:r w:rsidR="00C87DCC">
        <w:rPr>
          <w:rFonts w:eastAsia="Times New Roman"/>
          <w:sz w:val="27"/>
          <w:szCs w:val="27"/>
          <w:lang w:eastAsia="ru-RU"/>
        </w:rPr>
        <w:t xml:space="preserve"> </w:t>
      </w:r>
      <w:r w:rsidR="00C87DCC" w:rsidRPr="00C87DCC">
        <w:rPr>
          <w:rFonts w:eastAsia="Times New Roman"/>
          <w:sz w:val="27"/>
          <w:szCs w:val="27"/>
          <w:lang w:eastAsia="ru-RU"/>
        </w:rPr>
        <w:t>«</w:t>
      </w:r>
      <w:r w:rsidRPr="00C87DCC">
        <w:rPr>
          <w:rFonts w:eastAsia="Times New Roman"/>
          <w:sz w:val="27"/>
          <w:szCs w:val="27"/>
          <w:lang w:eastAsia="ru-RU"/>
        </w:rPr>
        <w:t>Проект внесения изменений в генеральный план городского округа города-курорта Кисловодска Ставропольского края» (письмо от 27.04.2026 № 02-18.1/8942).</w:t>
      </w:r>
    </w:p>
    <w:p w:rsidR="00C87DCC" w:rsidRDefault="00C87DCC" w:rsidP="00C87DCC">
      <w:pPr>
        <w:spacing w:after="0" w:line="240" w:lineRule="auto"/>
        <w:ind w:left="284" w:right="-57" w:firstLine="709"/>
        <w:jc w:val="both"/>
        <w:rPr>
          <w:rFonts w:eastAsia="Times New Roman"/>
          <w:sz w:val="27"/>
          <w:szCs w:val="27"/>
          <w:lang w:eastAsia="ru-RU"/>
        </w:rPr>
      </w:pPr>
    </w:p>
    <w:p w:rsidR="00C87DCC" w:rsidRPr="00C87DCC" w:rsidRDefault="00C87DCC" w:rsidP="00C87DCC">
      <w:pPr>
        <w:spacing w:after="0" w:line="240" w:lineRule="auto"/>
        <w:ind w:left="284" w:right="-57" w:firstLine="709"/>
        <w:jc w:val="both"/>
        <w:rPr>
          <w:rFonts w:eastAsia="Times New Roman"/>
          <w:sz w:val="27"/>
          <w:szCs w:val="27"/>
          <w:lang w:eastAsia="ru-RU"/>
        </w:rPr>
      </w:pPr>
    </w:p>
    <w:p w:rsidR="00CB7A6B" w:rsidRPr="00CD16C0" w:rsidRDefault="00CB7A6B" w:rsidP="00CB7A6B">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Также заключение о согласовании предоставили:</w:t>
      </w:r>
      <w:r w:rsidR="00CD16C0" w:rsidRPr="00CD16C0">
        <w:rPr>
          <w:rFonts w:eastAsia="Times New Roman"/>
          <w:sz w:val="27"/>
          <w:szCs w:val="27"/>
          <w:lang w:eastAsia="ru-RU"/>
        </w:rPr>
        <w:t xml:space="preserve"> </w:t>
      </w:r>
      <w:bookmarkStart w:id="0" w:name="_GoBack"/>
      <w:bookmarkEnd w:id="0"/>
    </w:p>
    <w:p w:rsidR="00CB7A6B" w:rsidRPr="00CD16C0" w:rsidRDefault="00CB7A6B" w:rsidP="00C87DCC">
      <w:pPr>
        <w:spacing w:after="0" w:line="240" w:lineRule="auto"/>
        <w:ind w:left="284" w:right="-57"/>
        <w:jc w:val="both"/>
        <w:rPr>
          <w:rFonts w:eastAsia="Times New Roman"/>
          <w:sz w:val="27"/>
          <w:szCs w:val="27"/>
          <w:lang w:eastAsia="ru-RU"/>
        </w:rPr>
      </w:pPr>
      <w:r w:rsidRPr="00CD16C0">
        <w:rPr>
          <w:rFonts w:eastAsia="Times New Roman"/>
          <w:sz w:val="27"/>
          <w:szCs w:val="27"/>
          <w:lang w:eastAsia="ru-RU"/>
        </w:rPr>
        <w:t>Министерство науки и высшего образования Российской Федерации (от 24 апреля 2026 г. № МН-21/1937), Федеральное агентства по рыболовству (от14 апреля 2026 г. № 07715000-27082сз\исх-59974), Министерство обороны Российской Федерации (от  14 апреля 2026 г. № 07715000-2459сз\вх-59918), Государственная корпорация по атомной энергии «</w:t>
      </w:r>
      <w:proofErr w:type="spellStart"/>
      <w:r w:rsidRPr="00CD16C0">
        <w:rPr>
          <w:rFonts w:eastAsia="Times New Roman"/>
          <w:sz w:val="27"/>
          <w:szCs w:val="27"/>
          <w:lang w:eastAsia="ru-RU"/>
        </w:rPr>
        <w:t>Росатом</w:t>
      </w:r>
      <w:proofErr w:type="spellEnd"/>
      <w:r w:rsidRPr="00CD16C0">
        <w:rPr>
          <w:rFonts w:eastAsia="Times New Roman"/>
          <w:sz w:val="27"/>
          <w:szCs w:val="27"/>
          <w:lang w:eastAsia="ru-RU"/>
        </w:rPr>
        <w:t>» (от 14 апреля 2026 г. № 1-12.7/17678)</w:t>
      </w:r>
      <w:r w:rsidR="008E744F" w:rsidRPr="00CD16C0">
        <w:rPr>
          <w:rFonts w:eastAsia="Times New Roman"/>
          <w:sz w:val="27"/>
          <w:szCs w:val="27"/>
          <w:lang w:eastAsia="ru-RU"/>
        </w:rPr>
        <w:t xml:space="preserve">, МЧС России (от  14 апреля 2026 г. № Р-26-279), Министерство строительства и архитектуры Ставропольского края (от </w:t>
      </w:r>
      <w:r w:rsidR="00551033" w:rsidRPr="00CD16C0">
        <w:rPr>
          <w:rFonts w:eastAsia="Times New Roman"/>
          <w:sz w:val="27"/>
          <w:szCs w:val="27"/>
          <w:lang w:eastAsia="ru-RU"/>
        </w:rPr>
        <w:t>28 апреля 2026 г. № 01-11/3578), Министерство имущественных отношений</w:t>
      </w:r>
      <w:r w:rsidR="00551033" w:rsidRPr="00CD16C0">
        <w:t xml:space="preserve"> </w:t>
      </w:r>
      <w:r w:rsidR="00551033" w:rsidRPr="00CD16C0">
        <w:rPr>
          <w:rFonts w:eastAsia="Times New Roman"/>
          <w:sz w:val="27"/>
          <w:szCs w:val="27"/>
          <w:lang w:eastAsia="ru-RU"/>
        </w:rPr>
        <w:t>Ставропольского края (от 06 апреля  2026 г. № 4843/04)</w:t>
      </w:r>
      <w:r w:rsidRPr="00CD16C0">
        <w:rPr>
          <w:rFonts w:eastAsia="Times New Roman"/>
          <w:sz w:val="27"/>
          <w:szCs w:val="27"/>
          <w:lang w:eastAsia="ru-RU"/>
        </w:rPr>
        <w:t xml:space="preserve">. </w:t>
      </w:r>
    </w:p>
    <w:p w:rsidR="00CB7A6B" w:rsidRPr="00C87DCC" w:rsidRDefault="00CB7A6B" w:rsidP="00CB7A6B">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В соответствии с пунктом 15 Порядка, проект считается согласованным с Министерством здравоохранения Российской Федерации, Министерством транспорта Российской Федерации, Министерством промышленности и торговли Российской Федерации, Министерством внутренних дел Российской Федерации, Службой внешней разведки Российской Федерации, Федеральной службой безопасности Российской Федерации, Федеральной службой охраны Российской Федерации, Федеральной службой войск национальной гвардии Российской Федерации, Государственной корпорацией по космической деятельности «</w:t>
      </w:r>
      <w:proofErr w:type="spellStart"/>
      <w:r w:rsidRPr="00C87DCC">
        <w:rPr>
          <w:rFonts w:eastAsia="Times New Roman"/>
          <w:sz w:val="27"/>
          <w:szCs w:val="27"/>
          <w:lang w:eastAsia="ru-RU"/>
        </w:rPr>
        <w:t>Роскосмос</w:t>
      </w:r>
      <w:proofErr w:type="spellEnd"/>
      <w:r w:rsidRPr="00C87DCC">
        <w:rPr>
          <w:rFonts w:eastAsia="Times New Roman"/>
          <w:sz w:val="27"/>
          <w:szCs w:val="27"/>
          <w:lang w:eastAsia="ru-RU"/>
        </w:rPr>
        <w:t xml:space="preserve">», не представившими в установленный срок заключения на проект. </w:t>
      </w:r>
    </w:p>
    <w:p w:rsidR="00CB7A6B" w:rsidRPr="00C87DCC" w:rsidRDefault="00CB7A6B" w:rsidP="00CB7A6B">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Заключение о несогласовании проекта получено от Министерства природных   ресурсов и экологии Российской Федерации (от 17 апреля 2026 г. № 19-31/16966) с   замечаниями в части транзитного прохождения водовода через границы национального парка «Кисловодский».</w:t>
      </w:r>
      <w:r w:rsidR="004F7A2C">
        <w:rPr>
          <w:rFonts w:eastAsia="Times New Roman"/>
          <w:sz w:val="27"/>
          <w:szCs w:val="27"/>
          <w:lang w:eastAsia="ru-RU"/>
        </w:rPr>
        <w:t xml:space="preserve"> </w:t>
      </w:r>
    </w:p>
    <w:p w:rsidR="00516BC3" w:rsidRPr="00C87DCC" w:rsidRDefault="00CB7A6B" w:rsidP="00CB7A6B">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На согласительном совещании в Минэкономразвития России (протокол от 17 мая 2026 г. № 46-СС) замечания Минприроды России были урегулированы при условии их учета в проекте до утверждения.</w:t>
      </w:r>
    </w:p>
    <w:p w:rsidR="00D906BA" w:rsidRPr="00C87DCC" w:rsidRDefault="00D906BA" w:rsidP="00D906BA">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 xml:space="preserve">В соответствии с пунктом 23 Порядка, на основании заключений   федеральных органов исполнительной власти, протокола совещания от 17 мая 2026 г. № 46-СС, проект считается согласованным.    </w:t>
      </w:r>
    </w:p>
    <w:p w:rsidR="000E282E" w:rsidRPr="00C87DCC" w:rsidRDefault="000E282E" w:rsidP="00C87DCC">
      <w:pPr>
        <w:spacing w:after="0" w:line="240" w:lineRule="auto"/>
        <w:ind w:left="284" w:right="-57" w:firstLine="709"/>
        <w:jc w:val="both"/>
        <w:rPr>
          <w:rFonts w:eastAsia="Times New Roman"/>
          <w:sz w:val="27"/>
          <w:szCs w:val="27"/>
          <w:lang w:eastAsia="ru-RU"/>
        </w:rPr>
      </w:pPr>
      <w:r w:rsidRPr="00C87DCC">
        <w:rPr>
          <w:rFonts w:eastAsia="Times New Roman"/>
          <w:sz w:val="27"/>
          <w:szCs w:val="27"/>
          <w:lang w:eastAsia="ru-RU"/>
        </w:rPr>
        <w:t xml:space="preserve">В соответствии с ст. 24, 25, 28 </w:t>
      </w:r>
      <w:proofErr w:type="spellStart"/>
      <w:r w:rsidRPr="00C87DCC">
        <w:rPr>
          <w:rFonts w:eastAsia="Times New Roman"/>
          <w:sz w:val="27"/>
          <w:szCs w:val="27"/>
          <w:lang w:eastAsia="ru-RU"/>
        </w:rPr>
        <w:t>ГрК</w:t>
      </w:r>
      <w:proofErr w:type="spellEnd"/>
      <w:r w:rsidRPr="00C87DCC">
        <w:rPr>
          <w:rFonts w:eastAsia="Times New Roman"/>
          <w:sz w:val="27"/>
          <w:szCs w:val="27"/>
          <w:lang w:eastAsia="ru-RU"/>
        </w:rPr>
        <w:t xml:space="preserve"> РФ</w:t>
      </w:r>
      <w:r w:rsidR="008D16EB" w:rsidRPr="00C87DCC">
        <w:rPr>
          <w:rFonts w:eastAsia="Times New Roman"/>
          <w:sz w:val="27"/>
          <w:szCs w:val="27"/>
          <w:lang w:eastAsia="ru-RU"/>
        </w:rPr>
        <w:t>,</w:t>
      </w:r>
      <w:r w:rsidRPr="00C87DCC">
        <w:rPr>
          <w:rFonts w:eastAsia="Times New Roman"/>
          <w:sz w:val="27"/>
          <w:szCs w:val="27"/>
          <w:lang w:eastAsia="ru-RU"/>
        </w:rPr>
        <w:t xml:space="preserve"> </w:t>
      </w:r>
      <w:r w:rsidR="008D16EB" w:rsidRPr="00C87DCC">
        <w:rPr>
          <w:rFonts w:eastAsia="Times New Roman"/>
          <w:sz w:val="27"/>
          <w:szCs w:val="27"/>
          <w:lang w:eastAsia="ru-RU"/>
        </w:rPr>
        <w:t>учитывая результаты общественных обсуждений, отраженных в протоколе проведения общественных обсуждений, с учетом мнения членов комиссии, предоставленного обоснования и аргументов, в том числе о целесообразности и нецелесообразности поступивших предложений, комиссия рекомендовала Главе города-курорта Кисловодска принять внесенные изменения в генеральный план городского округа города-курорта Кисловодска Ставропольского края. П</w:t>
      </w:r>
      <w:r w:rsidRPr="00C87DCC">
        <w:rPr>
          <w:rFonts w:eastAsia="Times New Roman"/>
          <w:sz w:val="27"/>
          <w:szCs w:val="27"/>
          <w:lang w:eastAsia="ru-RU"/>
        </w:rPr>
        <w:t xml:space="preserve">остановлением администрации города-курорта Кисловодска от </w:t>
      </w:r>
      <w:r w:rsidR="00D906BA" w:rsidRPr="00C87DCC">
        <w:rPr>
          <w:rFonts w:eastAsia="Times New Roman"/>
          <w:sz w:val="27"/>
          <w:szCs w:val="27"/>
          <w:lang w:eastAsia="ru-RU"/>
        </w:rPr>
        <w:t>25.06.2026</w:t>
      </w:r>
      <w:r w:rsidR="005D0076" w:rsidRPr="00C87DCC">
        <w:rPr>
          <w:rFonts w:eastAsia="Times New Roman"/>
          <w:sz w:val="27"/>
          <w:szCs w:val="27"/>
          <w:lang w:eastAsia="ru-RU"/>
        </w:rPr>
        <w:t xml:space="preserve"> </w:t>
      </w:r>
      <w:r w:rsidRPr="00C87DCC">
        <w:rPr>
          <w:rFonts w:eastAsia="Times New Roman"/>
          <w:sz w:val="27"/>
          <w:szCs w:val="27"/>
          <w:lang w:eastAsia="ru-RU"/>
        </w:rPr>
        <w:t xml:space="preserve">№ </w:t>
      </w:r>
      <w:r w:rsidR="00D906BA" w:rsidRPr="00C87DCC">
        <w:rPr>
          <w:rFonts w:eastAsia="Times New Roman"/>
          <w:sz w:val="27"/>
          <w:szCs w:val="27"/>
          <w:lang w:eastAsia="ru-RU"/>
        </w:rPr>
        <w:t>618 «</w:t>
      </w:r>
      <w:r w:rsidRPr="00C87DCC">
        <w:rPr>
          <w:rFonts w:eastAsia="Times New Roman"/>
          <w:sz w:val="27"/>
          <w:szCs w:val="27"/>
          <w:lang w:eastAsia="ru-RU"/>
        </w:rPr>
        <w:t xml:space="preserve">О согласовании проекта внесения изменений в </w:t>
      </w:r>
      <w:r w:rsidR="00D906BA" w:rsidRPr="00C87DCC">
        <w:rPr>
          <w:rFonts w:eastAsia="Times New Roman"/>
          <w:sz w:val="27"/>
          <w:szCs w:val="27"/>
          <w:lang w:eastAsia="ru-RU"/>
        </w:rPr>
        <w:t>г</w:t>
      </w:r>
      <w:r w:rsidRPr="00C87DCC">
        <w:rPr>
          <w:rFonts w:eastAsia="Times New Roman"/>
          <w:sz w:val="27"/>
          <w:szCs w:val="27"/>
          <w:lang w:eastAsia="ru-RU"/>
        </w:rPr>
        <w:t xml:space="preserve">енеральный план городского округа города-курорта Кисловодска Ставропольского края», Глава городского округа города-курорта Кисловодска принял решение о согласии с проектом </w:t>
      </w:r>
      <w:r w:rsidR="00411B81" w:rsidRPr="00C87DCC">
        <w:rPr>
          <w:rFonts w:eastAsia="Times New Roman"/>
          <w:sz w:val="27"/>
          <w:szCs w:val="27"/>
          <w:lang w:eastAsia="ru-RU"/>
        </w:rPr>
        <w:t xml:space="preserve">решения </w:t>
      </w:r>
      <w:r w:rsidRPr="00C87DCC">
        <w:rPr>
          <w:rFonts w:eastAsia="Times New Roman"/>
          <w:sz w:val="27"/>
          <w:szCs w:val="27"/>
          <w:lang w:eastAsia="ru-RU"/>
        </w:rPr>
        <w:t xml:space="preserve">внесения изменений в </w:t>
      </w:r>
      <w:r w:rsidR="005D0076" w:rsidRPr="00C87DCC">
        <w:rPr>
          <w:rFonts w:eastAsia="Times New Roman"/>
          <w:sz w:val="27"/>
          <w:szCs w:val="27"/>
          <w:lang w:eastAsia="ru-RU"/>
        </w:rPr>
        <w:t>г</w:t>
      </w:r>
      <w:r w:rsidRPr="00C87DCC">
        <w:rPr>
          <w:rFonts w:eastAsia="Times New Roman"/>
          <w:sz w:val="27"/>
          <w:szCs w:val="27"/>
          <w:lang w:eastAsia="ru-RU"/>
        </w:rPr>
        <w:t>енеральный план и</w:t>
      </w:r>
      <w:r w:rsidR="008D16EB" w:rsidRPr="00C87DCC">
        <w:rPr>
          <w:rFonts w:eastAsia="Times New Roman"/>
          <w:sz w:val="27"/>
          <w:szCs w:val="27"/>
          <w:lang w:eastAsia="ru-RU"/>
        </w:rPr>
        <w:t xml:space="preserve"> поручил управлению по архитектуре, градостроительству и</w:t>
      </w:r>
      <w:r w:rsidR="00B57BD3" w:rsidRPr="00C87DCC">
        <w:rPr>
          <w:rFonts w:eastAsia="Times New Roman"/>
          <w:sz w:val="27"/>
          <w:szCs w:val="27"/>
          <w:lang w:eastAsia="ru-RU"/>
        </w:rPr>
        <w:t xml:space="preserve"> </w:t>
      </w:r>
      <w:r w:rsidR="008D16EB" w:rsidRPr="00C87DCC">
        <w:rPr>
          <w:rFonts w:eastAsia="Times New Roman"/>
          <w:sz w:val="27"/>
          <w:szCs w:val="27"/>
          <w:lang w:eastAsia="ru-RU"/>
        </w:rPr>
        <w:t>имущественным отношениям администрации города-курорта Кисловодска</w:t>
      </w:r>
      <w:r w:rsidRPr="00C87DCC">
        <w:rPr>
          <w:rFonts w:eastAsia="Times New Roman"/>
          <w:sz w:val="27"/>
          <w:szCs w:val="27"/>
          <w:lang w:eastAsia="ru-RU"/>
        </w:rPr>
        <w:t xml:space="preserve"> направ</w:t>
      </w:r>
      <w:r w:rsidR="008D16EB" w:rsidRPr="00C87DCC">
        <w:rPr>
          <w:rFonts w:eastAsia="Times New Roman"/>
          <w:sz w:val="27"/>
          <w:szCs w:val="27"/>
          <w:lang w:eastAsia="ru-RU"/>
        </w:rPr>
        <w:t>ить</w:t>
      </w:r>
      <w:r w:rsidRPr="00C87DCC">
        <w:rPr>
          <w:rFonts w:eastAsia="Times New Roman"/>
          <w:sz w:val="27"/>
          <w:szCs w:val="27"/>
          <w:lang w:eastAsia="ru-RU"/>
        </w:rPr>
        <w:t xml:space="preserve"> в Думу города-курорта Кисловодска для утверждения.</w:t>
      </w:r>
    </w:p>
    <w:p w:rsidR="008D16EB" w:rsidRPr="00C87DCC" w:rsidRDefault="008D16EB" w:rsidP="00B57BD3">
      <w:pPr>
        <w:spacing w:after="0" w:line="240" w:lineRule="auto"/>
        <w:ind w:left="284" w:right="-59"/>
        <w:jc w:val="both"/>
        <w:rPr>
          <w:spacing w:val="-6"/>
          <w:sz w:val="27"/>
          <w:szCs w:val="27"/>
        </w:rPr>
      </w:pPr>
    </w:p>
    <w:p w:rsidR="00121E67" w:rsidRPr="00C87DCC" w:rsidRDefault="00121E67" w:rsidP="00B57BD3">
      <w:pPr>
        <w:spacing w:after="0" w:line="240" w:lineRule="auto"/>
        <w:ind w:left="284" w:right="-59"/>
        <w:jc w:val="both"/>
        <w:rPr>
          <w:spacing w:val="-6"/>
          <w:sz w:val="27"/>
          <w:szCs w:val="27"/>
        </w:rPr>
      </w:pPr>
    </w:p>
    <w:p w:rsidR="00D906BA" w:rsidRPr="00C87DCC" w:rsidRDefault="00D906BA" w:rsidP="00D906BA">
      <w:pPr>
        <w:spacing w:after="0" w:line="240" w:lineRule="exact"/>
        <w:ind w:left="284"/>
        <w:jc w:val="both"/>
        <w:rPr>
          <w:rFonts w:eastAsia="Calibri"/>
          <w:spacing w:val="-6"/>
          <w:sz w:val="27"/>
          <w:szCs w:val="27"/>
        </w:rPr>
      </w:pPr>
      <w:r w:rsidRPr="00C87DCC">
        <w:rPr>
          <w:rFonts w:eastAsia="Calibri"/>
          <w:spacing w:val="-6"/>
          <w:sz w:val="27"/>
          <w:szCs w:val="27"/>
        </w:rPr>
        <w:t xml:space="preserve">Заместитель главы администрации – </w:t>
      </w:r>
    </w:p>
    <w:p w:rsidR="00D906BA" w:rsidRPr="00C87DCC" w:rsidRDefault="00D906BA" w:rsidP="00D906BA">
      <w:pPr>
        <w:spacing w:after="0" w:line="240" w:lineRule="exact"/>
        <w:ind w:left="284"/>
        <w:jc w:val="both"/>
        <w:rPr>
          <w:rFonts w:eastAsia="Calibri"/>
          <w:spacing w:val="-6"/>
          <w:sz w:val="27"/>
          <w:szCs w:val="27"/>
        </w:rPr>
      </w:pPr>
      <w:r w:rsidRPr="00C87DCC">
        <w:rPr>
          <w:rFonts w:eastAsia="Calibri"/>
          <w:spacing w:val="-6"/>
          <w:sz w:val="27"/>
          <w:szCs w:val="27"/>
        </w:rPr>
        <w:t xml:space="preserve">начальник управления – </w:t>
      </w:r>
    </w:p>
    <w:p w:rsidR="00D906BA" w:rsidRPr="00C87DCC" w:rsidRDefault="00D906BA" w:rsidP="00D906BA">
      <w:pPr>
        <w:spacing w:after="0" w:line="240" w:lineRule="exact"/>
        <w:ind w:left="284"/>
        <w:jc w:val="both"/>
        <w:rPr>
          <w:rFonts w:eastAsia="Calibri"/>
          <w:sz w:val="27"/>
          <w:szCs w:val="27"/>
        </w:rPr>
      </w:pPr>
      <w:r w:rsidRPr="00C87DCC">
        <w:rPr>
          <w:rFonts w:eastAsia="Calibri"/>
          <w:spacing w:val="-6"/>
          <w:sz w:val="27"/>
          <w:szCs w:val="27"/>
        </w:rPr>
        <w:t xml:space="preserve">главный архитектор                                                                                          </w:t>
      </w:r>
      <w:r w:rsidR="00C87DCC">
        <w:rPr>
          <w:rFonts w:eastAsia="Calibri"/>
          <w:spacing w:val="-6"/>
          <w:sz w:val="27"/>
          <w:szCs w:val="27"/>
        </w:rPr>
        <w:t xml:space="preserve">   </w:t>
      </w:r>
      <w:r w:rsidRPr="00C87DCC">
        <w:rPr>
          <w:rFonts w:eastAsia="Calibri"/>
          <w:spacing w:val="-6"/>
          <w:sz w:val="27"/>
          <w:szCs w:val="27"/>
        </w:rPr>
        <w:t xml:space="preserve">  </w:t>
      </w:r>
      <w:r w:rsidRPr="00C87DCC">
        <w:rPr>
          <w:rFonts w:eastAsia="Calibri"/>
          <w:sz w:val="27"/>
          <w:szCs w:val="27"/>
        </w:rPr>
        <w:t xml:space="preserve">Г.Е. Сидоров </w:t>
      </w:r>
    </w:p>
    <w:p w:rsidR="00D906BA" w:rsidRDefault="00D906BA" w:rsidP="00C87DCC">
      <w:pPr>
        <w:tabs>
          <w:tab w:val="left" w:pos="0"/>
        </w:tabs>
        <w:suppressAutoHyphens/>
        <w:overflowPunct w:val="0"/>
        <w:autoSpaceDE w:val="0"/>
        <w:spacing w:after="0" w:line="240" w:lineRule="auto"/>
        <w:ind w:right="-286"/>
        <w:jc w:val="both"/>
        <w:textAlignment w:val="baseline"/>
        <w:rPr>
          <w:rFonts w:eastAsia="Times New Roman"/>
          <w:sz w:val="20"/>
          <w:szCs w:val="20"/>
          <w:lang w:eastAsia="ar-SA"/>
        </w:rPr>
      </w:pPr>
    </w:p>
    <w:p w:rsidR="00D906BA" w:rsidRPr="001214EB" w:rsidRDefault="00D906BA" w:rsidP="00D906BA">
      <w:pPr>
        <w:tabs>
          <w:tab w:val="left" w:pos="0"/>
        </w:tabs>
        <w:suppressAutoHyphens/>
        <w:overflowPunct w:val="0"/>
        <w:autoSpaceDE w:val="0"/>
        <w:spacing w:after="0" w:line="240" w:lineRule="auto"/>
        <w:ind w:left="284" w:right="-286" w:hanging="284"/>
        <w:jc w:val="both"/>
        <w:textAlignment w:val="baseline"/>
        <w:rPr>
          <w:rFonts w:eastAsia="Times New Roman"/>
          <w:sz w:val="20"/>
          <w:szCs w:val="20"/>
          <w:lang w:eastAsia="ar-SA"/>
        </w:rPr>
      </w:pPr>
    </w:p>
    <w:p w:rsidR="00D906BA" w:rsidRDefault="00D906BA" w:rsidP="00C87DCC">
      <w:pPr>
        <w:tabs>
          <w:tab w:val="left" w:pos="0"/>
        </w:tabs>
        <w:suppressAutoHyphens/>
        <w:overflowPunct w:val="0"/>
        <w:autoSpaceDE w:val="0"/>
        <w:spacing w:after="0" w:line="240" w:lineRule="auto"/>
        <w:ind w:left="284" w:right="-286"/>
        <w:jc w:val="both"/>
        <w:textAlignment w:val="baseline"/>
        <w:rPr>
          <w:rFonts w:eastAsia="Times New Roman"/>
          <w:sz w:val="20"/>
          <w:szCs w:val="20"/>
          <w:lang w:eastAsia="ar-SA"/>
        </w:rPr>
      </w:pPr>
      <w:r w:rsidRPr="001214EB">
        <w:rPr>
          <w:rFonts w:eastAsia="Times New Roman"/>
          <w:sz w:val="20"/>
          <w:szCs w:val="20"/>
          <w:lang w:eastAsia="ar-SA"/>
        </w:rPr>
        <w:t>Исп.: А.И. Алиева</w:t>
      </w:r>
    </w:p>
    <w:p w:rsidR="00394060" w:rsidRPr="00C87DCC" w:rsidRDefault="00D906BA" w:rsidP="00C87DCC">
      <w:pPr>
        <w:tabs>
          <w:tab w:val="left" w:pos="0"/>
        </w:tabs>
        <w:suppressAutoHyphens/>
        <w:overflowPunct w:val="0"/>
        <w:autoSpaceDE w:val="0"/>
        <w:spacing w:after="0" w:line="240" w:lineRule="auto"/>
        <w:ind w:left="284" w:right="-286"/>
        <w:jc w:val="both"/>
        <w:textAlignment w:val="baseline"/>
        <w:rPr>
          <w:rFonts w:eastAsia="Times New Roman"/>
          <w:sz w:val="20"/>
          <w:szCs w:val="20"/>
          <w:lang w:eastAsia="ar-SA"/>
        </w:rPr>
      </w:pPr>
      <w:r w:rsidRPr="001214EB">
        <w:rPr>
          <w:rFonts w:eastAsia="Times New Roman"/>
          <w:sz w:val="20"/>
          <w:szCs w:val="20"/>
          <w:lang w:eastAsia="ar-SA"/>
        </w:rPr>
        <w:t>тел. 2-83-05</w:t>
      </w:r>
    </w:p>
    <w:sectPr w:rsidR="00394060" w:rsidRPr="00C87DCC" w:rsidSect="004E2322">
      <w:pgSz w:w="11906" w:h="16838"/>
      <w:pgMar w:top="426" w:right="566"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82ECB"/>
    <w:multiLevelType w:val="singleLevel"/>
    <w:tmpl w:val="2DB82EC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97"/>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0C"/>
    <w:rsid w:val="00003ED9"/>
    <w:rsid w:val="0001578B"/>
    <w:rsid w:val="00026C34"/>
    <w:rsid w:val="00062CAB"/>
    <w:rsid w:val="00063949"/>
    <w:rsid w:val="0007404C"/>
    <w:rsid w:val="000C16D7"/>
    <w:rsid w:val="000E282E"/>
    <w:rsid w:val="000F4E87"/>
    <w:rsid w:val="00102DC9"/>
    <w:rsid w:val="00121E67"/>
    <w:rsid w:val="00161001"/>
    <w:rsid w:val="00172FE6"/>
    <w:rsid w:val="00174BD1"/>
    <w:rsid w:val="00176288"/>
    <w:rsid w:val="00184EA0"/>
    <w:rsid w:val="00196702"/>
    <w:rsid w:val="001A0A1B"/>
    <w:rsid w:val="001A4F84"/>
    <w:rsid w:val="001C2534"/>
    <w:rsid w:val="001C68FE"/>
    <w:rsid w:val="001E68CC"/>
    <w:rsid w:val="00207C27"/>
    <w:rsid w:val="002134BA"/>
    <w:rsid w:val="00222F0B"/>
    <w:rsid w:val="002507C8"/>
    <w:rsid w:val="0025307B"/>
    <w:rsid w:val="00256D6C"/>
    <w:rsid w:val="0026327C"/>
    <w:rsid w:val="00263DD7"/>
    <w:rsid w:val="00264539"/>
    <w:rsid w:val="002749D5"/>
    <w:rsid w:val="00291538"/>
    <w:rsid w:val="002B7BEA"/>
    <w:rsid w:val="002C15A8"/>
    <w:rsid w:val="002D12B2"/>
    <w:rsid w:val="003079D9"/>
    <w:rsid w:val="00313EC7"/>
    <w:rsid w:val="003151B4"/>
    <w:rsid w:val="003363BA"/>
    <w:rsid w:val="00356485"/>
    <w:rsid w:val="00357C69"/>
    <w:rsid w:val="00363053"/>
    <w:rsid w:val="003740AA"/>
    <w:rsid w:val="003747C7"/>
    <w:rsid w:val="00394060"/>
    <w:rsid w:val="003A1E9D"/>
    <w:rsid w:val="00411B81"/>
    <w:rsid w:val="004131B0"/>
    <w:rsid w:val="004200AF"/>
    <w:rsid w:val="0042482F"/>
    <w:rsid w:val="00433DD7"/>
    <w:rsid w:val="00442FA5"/>
    <w:rsid w:val="00446CA1"/>
    <w:rsid w:val="00454F50"/>
    <w:rsid w:val="00463EAE"/>
    <w:rsid w:val="00471E07"/>
    <w:rsid w:val="00483BC0"/>
    <w:rsid w:val="00484D80"/>
    <w:rsid w:val="004E2322"/>
    <w:rsid w:val="004E2F30"/>
    <w:rsid w:val="004F5D86"/>
    <w:rsid w:val="004F7A2C"/>
    <w:rsid w:val="005141A1"/>
    <w:rsid w:val="00516BC3"/>
    <w:rsid w:val="00547BE4"/>
    <w:rsid w:val="00551033"/>
    <w:rsid w:val="005550B7"/>
    <w:rsid w:val="00571C39"/>
    <w:rsid w:val="00581AB6"/>
    <w:rsid w:val="0059498C"/>
    <w:rsid w:val="005A6B55"/>
    <w:rsid w:val="005D0076"/>
    <w:rsid w:val="006005D9"/>
    <w:rsid w:val="00607962"/>
    <w:rsid w:val="00623C7D"/>
    <w:rsid w:val="006419FC"/>
    <w:rsid w:val="00661701"/>
    <w:rsid w:val="00665FED"/>
    <w:rsid w:val="00674745"/>
    <w:rsid w:val="006A5533"/>
    <w:rsid w:val="006B6708"/>
    <w:rsid w:val="006F7A65"/>
    <w:rsid w:val="00701630"/>
    <w:rsid w:val="007053A1"/>
    <w:rsid w:val="00724092"/>
    <w:rsid w:val="00736435"/>
    <w:rsid w:val="00751E11"/>
    <w:rsid w:val="00785E75"/>
    <w:rsid w:val="00792D61"/>
    <w:rsid w:val="007B03C8"/>
    <w:rsid w:val="007B0A86"/>
    <w:rsid w:val="007E6064"/>
    <w:rsid w:val="007E7BE7"/>
    <w:rsid w:val="0083257C"/>
    <w:rsid w:val="00832A4A"/>
    <w:rsid w:val="008576B1"/>
    <w:rsid w:val="008601A8"/>
    <w:rsid w:val="0086432B"/>
    <w:rsid w:val="00867F9A"/>
    <w:rsid w:val="00884AFA"/>
    <w:rsid w:val="00891A8A"/>
    <w:rsid w:val="00894E18"/>
    <w:rsid w:val="008B1862"/>
    <w:rsid w:val="008C2D0F"/>
    <w:rsid w:val="008C4607"/>
    <w:rsid w:val="008D16EB"/>
    <w:rsid w:val="008D54B8"/>
    <w:rsid w:val="008E0183"/>
    <w:rsid w:val="008E744F"/>
    <w:rsid w:val="008F73E8"/>
    <w:rsid w:val="00913853"/>
    <w:rsid w:val="00924796"/>
    <w:rsid w:val="00927C3A"/>
    <w:rsid w:val="00935C4F"/>
    <w:rsid w:val="009404E2"/>
    <w:rsid w:val="009405C6"/>
    <w:rsid w:val="00946416"/>
    <w:rsid w:val="00954ED9"/>
    <w:rsid w:val="00965711"/>
    <w:rsid w:val="00972B8A"/>
    <w:rsid w:val="00985A4A"/>
    <w:rsid w:val="009C42B1"/>
    <w:rsid w:val="009C4B12"/>
    <w:rsid w:val="009E0F2C"/>
    <w:rsid w:val="009E38DE"/>
    <w:rsid w:val="009F3BBA"/>
    <w:rsid w:val="00A07C47"/>
    <w:rsid w:val="00A24204"/>
    <w:rsid w:val="00A314DA"/>
    <w:rsid w:val="00A36F68"/>
    <w:rsid w:val="00A50B6C"/>
    <w:rsid w:val="00A83EB7"/>
    <w:rsid w:val="00A864B0"/>
    <w:rsid w:val="00A908A7"/>
    <w:rsid w:val="00A93F96"/>
    <w:rsid w:val="00AB405A"/>
    <w:rsid w:val="00AB43BD"/>
    <w:rsid w:val="00AB6108"/>
    <w:rsid w:val="00AC160C"/>
    <w:rsid w:val="00AD461A"/>
    <w:rsid w:val="00B1469B"/>
    <w:rsid w:val="00B15C68"/>
    <w:rsid w:val="00B1796F"/>
    <w:rsid w:val="00B405DF"/>
    <w:rsid w:val="00B5682A"/>
    <w:rsid w:val="00B56FFC"/>
    <w:rsid w:val="00B57BD3"/>
    <w:rsid w:val="00B61B47"/>
    <w:rsid w:val="00B64079"/>
    <w:rsid w:val="00B757F2"/>
    <w:rsid w:val="00B81B2D"/>
    <w:rsid w:val="00BA03D5"/>
    <w:rsid w:val="00BC5B93"/>
    <w:rsid w:val="00BF6D68"/>
    <w:rsid w:val="00C04055"/>
    <w:rsid w:val="00C24055"/>
    <w:rsid w:val="00C40E46"/>
    <w:rsid w:val="00C44595"/>
    <w:rsid w:val="00C72F18"/>
    <w:rsid w:val="00C87DCC"/>
    <w:rsid w:val="00CB7A6B"/>
    <w:rsid w:val="00CD16C0"/>
    <w:rsid w:val="00CE1C97"/>
    <w:rsid w:val="00D17494"/>
    <w:rsid w:val="00D45F86"/>
    <w:rsid w:val="00D501FA"/>
    <w:rsid w:val="00D75B0A"/>
    <w:rsid w:val="00D83E55"/>
    <w:rsid w:val="00D84C78"/>
    <w:rsid w:val="00D906BA"/>
    <w:rsid w:val="00D9175F"/>
    <w:rsid w:val="00D95D0C"/>
    <w:rsid w:val="00DA5F51"/>
    <w:rsid w:val="00DB1E63"/>
    <w:rsid w:val="00DC51B5"/>
    <w:rsid w:val="00DD1530"/>
    <w:rsid w:val="00DD16E5"/>
    <w:rsid w:val="00DD55B9"/>
    <w:rsid w:val="00DD68F2"/>
    <w:rsid w:val="00DE6D1A"/>
    <w:rsid w:val="00DF0C46"/>
    <w:rsid w:val="00E507FA"/>
    <w:rsid w:val="00E5516F"/>
    <w:rsid w:val="00E82207"/>
    <w:rsid w:val="00E91995"/>
    <w:rsid w:val="00EA1683"/>
    <w:rsid w:val="00ED7FA4"/>
    <w:rsid w:val="00EF6115"/>
    <w:rsid w:val="00F06BAD"/>
    <w:rsid w:val="00F26D0C"/>
    <w:rsid w:val="00F27A73"/>
    <w:rsid w:val="00F30077"/>
    <w:rsid w:val="00F501C2"/>
    <w:rsid w:val="00F5051E"/>
    <w:rsid w:val="00FA5626"/>
    <w:rsid w:val="00FD1401"/>
    <w:rsid w:val="00FF2CF0"/>
    <w:rsid w:val="1A14016B"/>
    <w:rsid w:val="27CD312B"/>
    <w:rsid w:val="2EA913C5"/>
    <w:rsid w:val="36A61EBD"/>
    <w:rsid w:val="46AB296A"/>
    <w:rsid w:val="488F7B88"/>
    <w:rsid w:val="5A173C8F"/>
    <w:rsid w:val="5E3C21A2"/>
    <w:rsid w:val="62650B88"/>
    <w:rsid w:val="6DA91F9F"/>
    <w:rsid w:val="73F90BE2"/>
    <w:rsid w:val="7C7E18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E8521-4540-4706-BD3B-CC2F91AA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heme="minorHAnsi"/>
      <w:sz w:val="24"/>
      <w:szCs w:val="28"/>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qFormat/>
    <w:pPr>
      <w:keepNext/>
      <w:spacing w:after="0" w:line="240" w:lineRule="auto"/>
      <w:outlineLvl w:val="4"/>
    </w:pPr>
    <w:rPr>
      <w:rFonts w:eastAsia="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Normal (Web)"/>
    <w:qFormat/>
    <w:pPr>
      <w:spacing w:beforeAutospacing="1" w:afterAutospacing="1"/>
    </w:pPr>
    <w:rPr>
      <w:sz w:val="24"/>
      <w:szCs w:val="24"/>
      <w:lang w:val="en-US" w:eastAsia="zh-CN"/>
    </w:rPr>
  </w:style>
  <w:style w:type="character" w:styleId="a6">
    <w:name w:val="Hyperlink"/>
    <w:basedOn w:val="a0"/>
    <w:uiPriority w:val="99"/>
    <w:semiHidden/>
    <w:unhideWhenUsed/>
    <w:qFormat/>
    <w:rPr>
      <w:color w:val="0000FF"/>
      <w:u w:val="single"/>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qFormat/>
    <w:rPr>
      <w:rFonts w:eastAsia="Times New Roman"/>
      <w:b/>
      <w:sz w:val="28"/>
      <w:szCs w:val="20"/>
      <w:lang w:eastAsia="ru-RU"/>
    </w:rPr>
  </w:style>
  <w:style w:type="paragraph" w:styleId="a8">
    <w:name w:val="No Spacing"/>
    <w:uiPriority w:val="1"/>
    <w:qFormat/>
    <w:rPr>
      <w:rFonts w:eastAsiaTheme="minorHAnsi"/>
      <w:sz w:val="24"/>
      <w:szCs w:val="28"/>
      <w:lang w:eastAsia="en-US"/>
    </w:rPr>
  </w:style>
  <w:style w:type="paragraph" w:styleId="a9">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character" w:customStyle="1" w:styleId="hl">
    <w:name w:val="hl"/>
    <w:basedOn w:val="a0"/>
    <w:qFormat/>
  </w:style>
  <w:style w:type="character" w:customStyle="1" w:styleId="blk">
    <w:name w:val="blk"/>
    <w:basedOn w:val="a0"/>
    <w:qFormat/>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rPr>
  </w:style>
  <w:style w:type="paragraph" w:customStyle="1" w:styleId="Standard">
    <w:name w:val="Standard"/>
    <w:rsid w:val="00A07C47"/>
    <w:pPr>
      <w:widowControl w:val="0"/>
      <w:suppressAutoHyphens/>
      <w:autoSpaceDN w:val="0"/>
    </w:pPr>
    <w:rPr>
      <w:rFonts w:eastAsia="Lucida Sans Unicode" w:cs="Tahoma"/>
      <w:kern w:val="3"/>
      <w:sz w:val="24"/>
      <w:szCs w:val="24"/>
    </w:rPr>
  </w:style>
  <w:style w:type="paragraph" w:styleId="21">
    <w:name w:val="Body Text Indent 2"/>
    <w:basedOn w:val="a"/>
    <w:link w:val="22"/>
    <w:uiPriority w:val="99"/>
    <w:unhideWhenUsed/>
    <w:rsid w:val="00256D6C"/>
    <w:pPr>
      <w:spacing w:after="120" w:line="480" w:lineRule="auto"/>
      <w:ind w:left="283"/>
    </w:pPr>
    <w:rPr>
      <w:rFonts w:eastAsia="Times New Roman"/>
      <w:szCs w:val="20"/>
      <w:lang w:eastAsia="ru-RU"/>
    </w:rPr>
  </w:style>
  <w:style w:type="character" w:customStyle="1" w:styleId="22">
    <w:name w:val="Основной текст с отступом 2 Знак"/>
    <w:basedOn w:val="a0"/>
    <w:link w:val="21"/>
    <w:uiPriority w:val="99"/>
    <w:rsid w:val="00256D6C"/>
    <w:rPr>
      <w:rFonts w:eastAsia="Times New Roman"/>
      <w:sz w:val="24"/>
    </w:rPr>
  </w:style>
  <w:style w:type="paragraph" w:styleId="aa">
    <w:name w:val="Body Text"/>
    <w:basedOn w:val="a"/>
    <w:link w:val="ab"/>
    <w:uiPriority w:val="99"/>
    <w:semiHidden/>
    <w:unhideWhenUsed/>
    <w:rsid w:val="00D17494"/>
    <w:pPr>
      <w:spacing w:after="120"/>
    </w:pPr>
  </w:style>
  <w:style w:type="character" w:customStyle="1" w:styleId="ab">
    <w:name w:val="Основной текст Знак"/>
    <w:basedOn w:val="a0"/>
    <w:link w:val="aa"/>
    <w:uiPriority w:val="99"/>
    <w:semiHidden/>
    <w:rsid w:val="00D17494"/>
    <w:rPr>
      <w:rFonts w:eastAsiaTheme="minorHAns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94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УАиГ</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Никитос</cp:lastModifiedBy>
  <cp:revision>5</cp:revision>
  <cp:lastPrinted>2026-07-13T14:52:00Z</cp:lastPrinted>
  <dcterms:created xsi:type="dcterms:W3CDTF">2024-12-17T07:52:00Z</dcterms:created>
  <dcterms:modified xsi:type="dcterms:W3CDTF">2026-07-13T14:54:00Z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1049-11.2.0.9684</vt:lpwstr>
  </property>
</Properties>
</file>