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Думы</w:t>
      </w:r>
    </w:p>
    <w:p>
      <w:pPr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города-курорта Кисловодска</w:t>
      </w:r>
    </w:p>
    <w:p>
      <w:pPr>
        <w:ind w:firstLine="52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</w:t>
      </w:r>
      <w:r>
        <w:rPr>
          <w:color w:val="000000" w:themeColor="text1"/>
          <w:sz w:val="28"/>
          <w:szCs w:val="28"/>
          <w:u w:val="single"/>
        </w:rPr>
        <w:t xml:space="preserve"> 25 </w:t>
      </w:r>
      <w:r>
        <w:rPr>
          <w:color w:val="000000" w:themeColor="text1"/>
          <w:sz w:val="28"/>
          <w:szCs w:val="28"/>
        </w:rPr>
        <w:t>» </w:t>
      </w:r>
      <w:r>
        <w:rPr>
          <w:color w:val="000000" w:themeColor="text1"/>
          <w:sz w:val="28"/>
          <w:szCs w:val="28"/>
          <w:u w:val="single"/>
        </w:rPr>
        <w:t xml:space="preserve"> марта </w:t>
      </w:r>
      <w:r>
        <w:rPr>
          <w:color w:val="000000" w:themeColor="text1"/>
          <w:sz w:val="28"/>
          <w:szCs w:val="28"/>
        </w:rPr>
        <w:t> 2020 г. № </w:t>
      </w:r>
      <w:r>
        <w:rPr>
          <w:color w:val="000000" w:themeColor="text1"/>
          <w:sz w:val="28"/>
          <w:szCs w:val="28"/>
          <w:u w:val="single"/>
        </w:rPr>
        <w:t>24-520</w:t>
      </w:r>
    </w:p>
    <w:p>
      <w:pPr>
        <w:pStyle w:val="a7"/>
        <w:spacing w:after="0" w:line="240" w:lineRule="atLeast"/>
        <w:ind w:firstLine="5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525"/>
        <w:jc w:val="center"/>
        <w:rPr>
          <w:rStyle w:val="a9"/>
        </w:rPr>
      </w:pPr>
    </w:p>
    <w:p>
      <w:pPr>
        <w:ind w:firstLine="525"/>
        <w:jc w:val="center"/>
      </w:pPr>
      <w:r>
        <w:rPr>
          <w:rStyle w:val="a9"/>
          <w:color w:val="000000" w:themeColor="text1"/>
          <w:sz w:val="28"/>
          <w:szCs w:val="28"/>
        </w:rPr>
        <w:t>ОТЧЕТ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t>о результатах приватизации объектов муниципальной</w:t>
      </w:r>
    </w:p>
    <w:p>
      <w:pPr>
        <w:ind w:firstLine="525"/>
        <w:jc w:val="center"/>
        <w:rPr>
          <w:color w:val="000000" w:themeColor="text1"/>
          <w:sz w:val="28"/>
          <w:szCs w:val="28"/>
        </w:rPr>
      </w:pPr>
      <w:r>
        <w:rPr>
          <w:rStyle w:val="a9"/>
          <w:color w:val="000000" w:themeColor="text1"/>
          <w:sz w:val="28"/>
          <w:szCs w:val="28"/>
        </w:rPr>
        <w:t>собственности за 2019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Порядком управления и распоряжения имуществом, находящимся в муниципальной собственности городского округа города-курорта Кисловодска, утвержденным решением Думы города-курорта Кисловодска от 28.06.2013 № 97-413, Дума города-курорта Кисловодска ежегодно утверждает отчет о результатах приватизации объектов муниципальной собственности за истекший год.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 целью привлечения дополнительных финансовых ресурсов в городской бюджет и формирования доходов местного бюджета в 2019 году были проведены мероприятия по отчуждению муниципального имущества в рамках Федеральных законов РФ от 21.12.2001 № 178-ФЗ «О приватизации государственного и муниципального имущества», от  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color w:val="000000" w:themeColor="text1"/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 </w:t>
      </w:r>
      <w:hyperlink r:id="rId6" w:history="1">
        <w:r>
          <w:rPr>
            <w:rStyle w:val="a6"/>
            <w:color w:val="000000" w:themeColor="text1"/>
            <w:sz w:val="28"/>
            <w:szCs w:val="28"/>
          </w:rPr>
          <w:t>от 21.12.2013 № 379-ФЗ «О внесении изменений в отдельные законодательные акты Российской Федерации»</w:t>
        </w:r>
      </w:hyperlink>
      <w:r>
        <w:rPr>
          <w:color w:val="000000" w:themeColor="text1"/>
          <w:sz w:val="28"/>
          <w:szCs w:val="28"/>
        </w:rPr>
        <w:t>, закона Ставропольского края от 02.03.2005 № 12-кз «О местном самоуправлении в Ставропольском крае».</w:t>
      </w:r>
    </w:p>
    <w:p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Согласно решению Думы города-курорта Кисловодска от 24.12.2019 </w:t>
      </w:r>
      <w:r>
        <w:rPr>
          <w:color w:val="000000" w:themeColor="text1"/>
          <w:sz w:val="28"/>
          <w:szCs w:val="28"/>
        </w:rPr>
        <w:br/>
        <w:t>№ 122-518 «Об утверждении прогнозного плана (Программы) приватизации объектов муниципальной собственности города-курорта Кисловодска на 2019-2021 годы», в список приватизированных объектов недвижимого муниципального имущества за 2019г. вошел следующий объект недвижимости - нежилые помещения №№ 1, 2, 4, 5, 6, 7, 8, 9, 10, 11, 12, 13, 14, 15, 16, 17, 18, 19, 20, 21, 22, 23, 24</w:t>
      </w:r>
      <w:proofErr w:type="gramEnd"/>
      <w:r>
        <w:rPr>
          <w:color w:val="000000" w:themeColor="text1"/>
          <w:sz w:val="28"/>
          <w:szCs w:val="28"/>
        </w:rPr>
        <w:t>, 25, 26, 27, 28, 29, 30, 31, литер</w:t>
      </w:r>
      <w:proofErr w:type="gramStart"/>
      <w:r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 xml:space="preserve">, цокольный этаж, назначение: нежилое, общей площадью 372,4 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., с кадастровым номером  26:34:080107:985,  расположенное по адресу: город Кисловодск, проезд </w:t>
      </w:r>
      <w:proofErr w:type="spellStart"/>
      <w:r>
        <w:rPr>
          <w:color w:val="000000" w:themeColor="text1"/>
          <w:sz w:val="28"/>
          <w:szCs w:val="28"/>
        </w:rPr>
        <w:t>Цандера</w:t>
      </w:r>
      <w:proofErr w:type="spellEnd"/>
      <w:r>
        <w:rPr>
          <w:color w:val="000000" w:themeColor="text1"/>
          <w:sz w:val="28"/>
          <w:szCs w:val="28"/>
        </w:rPr>
        <w:t>, дом 7, продажа с учетом преимущественного права на приобретение данного имущества арендатором - обществом с ограниченной ответственностью «Единый расчетно-кассовый центр города-курорта Кисловодска», по оценочной стоимости 4 670 000 (четыре  миллиона шестьсот семьдесят тысяч) рублей.</w:t>
      </w: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Приватизация движимых объектов муниципальной собственности, оценочной стоимостью до 100 тыс. рублей, на основании Положения о приватизации муниципального имущества в городе-курорте Кисловодске, утвержденного решением Думы города-курорта Кисловодска от 27.04.2012 </w:t>
      </w:r>
      <w:r>
        <w:rPr>
          <w:color w:val="000000" w:themeColor="text1"/>
          <w:sz w:val="28"/>
          <w:szCs w:val="28"/>
        </w:rPr>
        <w:lastRenderedPageBreak/>
        <w:t>№ 73-412, комитетом имущественных отношений администрации города-курорта Кисловодска не осуществлялась.</w:t>
      </w: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</w:p>
    <w:p>
      <w:pPr>
        <w:ind w:right="-2" w:firstLine="709"/>
        <w:jc w:val="both"/>
        <w:rPr>
          <w:color w:val="000000" w:themeColor="text1"/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Л.Н.  Волошина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>
      <w:pPr>
        <w:spacing w:line="240" w:lineRule="exact"/>
        <w:rPr>
          <w:sz w:val="28"/>
          <w:szCs w:val="28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Т.С. Середкина</w:t>
      </w:r>
    </w:p>
    <w:p>
      <w:pPr>
        <w:pStyle w:val="a7"/>
        <w:spacing w:after="0" w:line="240" w:lineRule="exact"/>
        <w:ind w:right="-2"/>
        <w:rPr>
          <w:color w:val="000000" w:themeColor="text1"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-559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>
        <w:trPr>
          <w:trHeight w:val="4536"/>
        </w:trPr>
        <w:tc>
          <w:tcPr>
            <w:tcW w:w="4785" w:type="dxa"/>
          </w:tcPr>
          <w:p>
            <w:pPr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 w:themeColor="text1"/>
                <w:sz w:val="28"/>
                <w:szCs w:val="22"/>
              </w:rPr>
              <w:lastRenderedPageBreak/>
              <w:br w:type="page"/>
            </w:r>
            <w:r>
              <w:rPr>
                <w:color w:val="000000" w:themeColor="text1"/>
                <w:sz w:val="28"/>
                <w:szCs w:val="22"/>
              </w:rPr>
              <w:br w:type="page"/>
            </w:r>
            <w:r>
              <w:rPr>
                <w:color w:val="000000" w:themeColor="text1"/>
                <w:sz w:val="28"/>
                <w:szCs w:val="22"/>
              </w:rPr>
              <w:br w:type="page"/>
            </w:r>
          </w:p>
          <w:p>
            <w:pPr>
              <w:ind w:right="1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18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КОМИТЕТ</w:t>
            </w:r>
          </w:p>
          <w:p>
            <w:pPr>
              <w:tabs>
                <w:tab w:val="left" w:pos="6135"/>
              </w:tabs>
              <w:ind w:right="180"/>
              <w:jc w:val="center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ИМУЩЕСТВЕННЫХ</w:t>
            </w:r>
          </w:p>
          <w:p>
            <w:pPr>
              <w:tabs>
                <w:tab w:val="left" w:pos="5715"/>
              </w:tabs>
              <w:ind w:right="18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ОТНОШЕНИЙ</w:t>
            </w:r>
          </w:p>
          <w:p>
            <w:pPr>
              <w:ind w:right="180"/>
              <w:jc w:val="center"/>
              <w:rPr>
                <w:bCs/>
              </w:rPr>
            </w:pPr>
            <w:r>
              <w:rPr>
                <w:bCs/>
                <w:sz w:val="28"/>
              </w:rPr>
              <w:t>АДМИНИСТРАЦИИ</w:t>
            </w:r>
          </w:p>
          <w:p>
            <w:pPr>
              <w:ind w:right="180"/>
              <w:jc w:val="center"/>
              <w:rPr>
                <w:bCs/>
              </w:rPr>
            </w:pPr>
            <w:r>
              <w:rPr>
                <w:bCs/>
              </w:rPr>
              <w:t>ГОРОДА-КУРОРТА КИСЛОВОДСКА</w:t>
            </w:r>
          </w:p>
          <w:p>
            <w:pPr>
              <w:tabs>
                <w:tab w:val="left" w:pos="5975"/>
              </w:tabs>
              <w:ind w:right="180"/>
              <w:jc w:val="center"/>
              <w:rPr>
                <w:sz w:val="28"/>
                <w:szCs w:val="28"/>
              </w:rPr>
            </w:pPr>
            <w:r>
              <w:t>357000 г. Кисловодск</w:t>
            </w:r>
          </w:p>
          <w:p>
            <w:pPr>
              <w:tabs>
                <w:tab w:val="left" w:pos="6061"/>
              </w:tabs>
              <w:ind w:right="180"/>
              <w:jc w:val="center"/>
            </w:pPr>
            <w:r>
              <w:t>пр. Победы, 25, тел. 2-22-72</w:t>
            </w:r>
          </w:p>
          <w:p>
            <w:pPr>
              <w:tabs>
                <w:tab w:val="left" w:pos="6061"/>
              </w:tabs>
              <w:ind w:right="180"/>
              <w:jc w:val="center"/>
            </w:pPr>
            <w:r>
              <w:t>ИНН 2628009601/КПП 262801001</w:t>
            </w:r>
          </w:p>
          <w:p>
            <w:pPr>
              <w:tabs>
                <w:tab w:val="left" w:pos="6061"/>
              </w:tabs>
              <w:ind w:right="180"/>
              <w:jc w:val="center"/>
            </w:pPr>
            <w:r>
              <w:t>ОГРН 1022601311281, ОКПО 22103108</w:t>
            </w:r>
          </w:p>
          <w:p>
            <w:pPr>
              <w:tabs>
                <w:tab w:val="left" w:pos="6061"/>
              </w:tabs>
              <w:ind w:right="180"/>
              <w:jc w:val="center"/>
            </w:pPr>
            <w:r>
              <w:t>_____________    №  ____________</w:t>
            </w:r>
          </w:p>
          <w:p>
            <w:pPr>
              <w:jc w:val="center"/>
              <w:rPr>
                <w:bCs/>
                <w:color w:val="000000" w:themeColor="text1"/>
                <w:sz w:val="28"/>
              </w:rPr>
            </w:pPr>
          </w:p>
          <w:p>
            <w:pPr>
              <w:tabs>
                <w:tab w:val="left" w:pos="606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785" w:type="dxa"/>
          </w:tcPr>
          <w:p>
            <w:pPr>
              <w:rPr>
                <w:bCs/>
                <w:color w:val="000000" w:themeColor="text1"/>
                <w:spacing w:val="-1"/>
                <w:sz w:val="28"/>
                <w:szCs w:val="22"/>
              </w:rPr>
            </w:pPr>
          </w:p>
          <w:p>
            <w:pPr>
              <w:rPr>
                <w:bCs/>
                <w:color w:val="000000" w:themeColor="text1"/>
                <w:spacing w:val="-1"/>
                <w:sz w:val="28"/>
                <w:szCs w:val="22"/>
              </w:rPr>
            </w:pPr>
          </w:p>
          <w:p>
            <w:pPr>
              <w:rPr>
                <w:bCs/>
                <w:color w:val="000000" w:themeColor="text1"/>
                <w:spacing w:val="-1"/>
                <w:sz w:val="28"/>
                <w:szCs w:val="22"/>
              </w:rPr>
            </w:pPr>
          </w:p>
          <w:p>
            <w:pPr>
              <w:rPr>
                <w:bCs/>
                <w:color w:val="000000" w:themeColor="text1"/>
                <w:spacing w:val="-1"/>
                <w:sz w:val="28"/>
                <w:szCs w:val="22"/>
              </w:rPr>
            </w:pPr>
          </w:p>
          <w:p>
            <w:pPr>
              <w:rPr>
                <w:bCs/>
                <w:color w:val="000000" w:themeColor="text1"/>
                <w:spacing w:val="-1"/>
                <w:sz w:val="28"/>
                <w:szCs w:val="22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2"/>
              </w:rPr>
              <w:t xml:space="preserve">            </w:t>
            </w:r>
          </w:p>
          <w:p>
            <w:pPr>
              <w:rPr>
                <w:b/>
                <w:color w:val="000000" w:themeColor="text1"/>
                <w:spacing w:val="-8"/>
                <w:sz w:val="28"/>
                <w:szCs w:val="22"/>
              </w:rPr>
            </w:pPr>
          </w:p>
        </w:tc>
      </w:tr>
    </w:tbl>
    <w:p>
      <w:pPr>
        <w:spacing w:line="240" w:lineRule="exact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ПОЯСНИТЕЛЬНАЯ ЗАПИСКА</w:t>
      </w:r>
    </w:p>
    <w:p>
      <w:pPr>
        <w:spacing w:line="240" w:lineRule="exact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 проекту решения Думы города-курорта Кисловодска</w:t>
      </w:r>
      <w:bookmarkStart w:id="0" w:name="_Hlk22753581"/>
    </w:p>
    <w:p>
      <w:pPr>
        <w:spacing w:line="240" w:lineRule="exact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«Об утверждении отчета о результатах приватизации объектов муниципальной собственности за 2019 год»</w:t>
      </w:r>
    </w:p>
    <w:bookmarkEnd w:id="0"/>
    <w:p>
      <w:pPr>
        <w:ind w:firstLine="708"/>
        <w:jc w:val="both"/>
        <w:rPr>
          <w:color w:val="000000" w:themeColor="text1"/>
          <w:sz w:val="28"/>
          <w:szCs w:val="28"/>
        </w:rPr>
      </w:pPr>
    </w:p>
    <w:p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Проект решения Думы города–курорта Кисловодска «Об утверждении отчета о результатах приватизации объектов муниципальной собственности за 2019 году» подготовлен 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Уставом городского округа города-курорта Кисловодска и во исполнение Порядка управления и распоряжения имуществом, находящимся в муниципальной</w:t>
      </w:r>
      <w:proofErr w:type="gramEnd"/>
      <w:r>
        <w:rPr>
          <w:color w:val="000000" w:themeColor="text1"/>
          <w:sz w:val="28"/>
          <w:szCs w:val="28"/>
        </w:rPr>
        <w:t xml:space="preserve"> собственности городского округа города-курорта Кисловодска, утвержденного решением Думы города-курорта Кисловодск от 28.06.2013г. </w:t>
      </w:r>
      <w:r>
        <w:rPr>
          <w:color w:val="000000" w:themeColor="text1"/>
          <w:sz w:val="28"/>
          <w:szCs w:val="28"/>
        </w:rPr>
        <w:br/>
        <w:t>№ 97-413.</w:t>
      </w:r>
    </w:p>
    <w:p>
      <w:pPr>
        <w:jc w:val="both"/>
        <w:rPr>
          <w:color w:val="000000" w:themeColor="text1"/>
          <w:sz w:val="28"/>
          <w:szCs w:val="28"/>
        </w:rPr>
      </w:pPr>
    </w:p>
    <w:p>
      <w:pPr>
        <w:jc w:val="both"/>
        <w:rPr>
          <w:color w:val="000000" w:themeColor="text1"/>
          <w:sz w:val="28"/>
          <w:szCs w:val="28"/>
        </w:rPr>
      </w:pPr>
    </w:p>
    <w:p>
      <w:pPr>
        <w:spacing w:line="240" w:lineRule="exact"/>
        <w:ind w:right="-144"/>
        <w:jc w:val="both"/>
        <w:rPr>
          <w:rFonts w:eastAsia="Times New Roman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</w:rPr>
        <w:t xml:space="preserve"> комитета</w:t>
      </w:r>
    </w:p>
    <w:p>
      <w:pPr>
        <w:spacing w:line="240" w:lineRule="exact"/>
        <w:ind w:right="-14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имущественных отношений</w:t>
      </w: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администрации города-курорта Кисловодска                              Т.С. Середкина</w:t>
      </w: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8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  <w:sz w:val="24"/>
          <w:szCs w:val="24"/>
        </w:rPr>
      </w:pPr>
    </w:p>
    <w:p>
      <w:pPr>
        <w:pStyle w:val="a7"/>
        <w:spacing w:after="0" w:line="240" w:lineRule="exact"/>
        <w:ind w:right="-144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Исп. В.В. </w:t>
      </w:r>
      <w:proofErr w:type="spellStart"/>
      <w:r>
        <w:rPr>
          <w:color w:val="000000" w:themeColor="text1"/>
        </w:rPr>
        <w:t>Выблов</w:t>
      </w:r>
      <w:proofErr w:type="spellEnd"/>
    </w:p>
    <w:p>
      <w:pPr>
        <w:pStyle w:val="a7"/>
        <w:spacing w:after="0" w:line="240" w:lineRule="exact"/>
        <w:ind w:right="-144"/>
        <w:jc w:val="both"/>
        <w:rPr>
          <w:color w:val="000000" w:themeColor="text1"/>
        </w:rPr>
      </w:pPr>
      <w:r>
        <w:rPr>
          <w:color w:val="000000" w:themeColor="text1"/>
        </w:rPr>
        <w:t>Тел. 2-82-89</w:t>
      </w:r>
    </w:p>
    <w:p>
      <w:bookmarkStart w:id="1" w:name="_GoBack"/>
      <w:bookmarkEnd w:id="1"/>
    </w:p>
    <w:sectPr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pPr>
      <w:spacing w:after="120"/>
    </w:pPr>
    <w:rPr>
      <w:rFonts w:eastAsia="Times New Roman"/>
      <w:sz w:val="20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pPr>
      <w:ind w:left="283" w:hanging="283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pPr>
      <w:spacing w:after="120"/>
    </w:pPr>
    <w:rPr>
      <w:rFonts w:eastAsia="Times New Roman"/>
      <w:sz w:val="20"/>
    </w:rPr>
  </w:style>
  <w:style w:type="character" w:customStyle="1" w:styleId="a8">
    <w:name w:val="Основной текст Знак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7BF889918A409D15A349C55457145B6EB6295B418DD7FAA487679D7C30E033393F8DEBDB990B3gCB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2020-03-27T12:17:00Z</dcterms:created>
  <dcterms:modified xsi:type="dcterms:W3CDTF">2020-03-27T12:23:00Z</dcterms:modified>
</cp:coreProperties>
</file>